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tabs>
          <w:tab w:val="left" w:pos="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tabs>
          <w:tab w:val="left" w:pos="0" w:leader="none"/>
        </w:tabs>
        <w:rPr>
          <w:b/>
          <w:highlight w:val="none"/>
        </w:rPr>
      </w:pPr>
      <w:r>
        <w:rPr>
          <w:b/>
          <w:bCs/>
        </w:rPr>
        <w:t xml:space="preserve">ИНФОРМАЦИОННОЕ СООБЩЕНИЕ</w:t>
      </w:r>
      <w:r>
        <w:rPr>
          <w:b/>
          <w:bCs/>
        </w:rPr>
        <w:t xml:space="preserve"> О ПРОВЕДЕНИИ ПРОДАЖИ ГОСУДАРСТВЕН</w:t>
      </w:r>
      <w:r>
        <w:rPr>
          <w:b/>
          <w:bCs/>
        </w:rPr>
        <w:t xml:space="preserve">Н</w:t>
      </w:r>
      <w:r>
        <w:rPr>
          <w:b/>
          <w:bCs/>
        </w:rPr>
        <w:t xml:space="preserve">ОГО ИМУЩЕСТВА</w:t>
      </w:r>
      <w:r>
        <w:rPr>
          <w:b/>
          <w:bCs/>
        </w:rPr>
        <w:t xml:space="preserve"> КОСТРОМСКОЙ ОБЛАСТИ</w:t>
      </w:r>
      <w:r>
        <w:t xml:space="preserve"> </w:t>
      </w:r>
      <w:bookmarkStart w:id="0" w:name="_Hlk50115950"/>
      <w:r>
        <w:rPr>
          <w:b/>
          <w:bCs/>
        </w:rPr>
        <w:t xml:space="preserve">ПОСРЕДСТВОМ ПУБЛИЧНОГО ПРЕДЛОЖЕНИЯ</w:t>
      </w:r>
      <w:bookmarkEnd w:id="0"/>
      <w:r>
        <w:rPr>
          <w:b/>
          <w:bCs/>
        </w:rPr>
        <w:t xml:space="preserve"> В ЭЛЕКТРОННОЙ ФОРМЕ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firstLine="56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highlight w:val="none"/>
        </w:rPr>
      </w:pPr>
      <w:r>
        <w:rPr>
          <w:bCs/>
        </w:rPr>
        <w:t xml:space="preserve">Департамент имущественных и земельных отношений Костромской области </w:t>
      </w:r>
      <w:r>
        <w:rPr>
          <w:bCs/>
        </w:rPr>
        <w:t xml:space="preserve">(</w:t>
      </w:r>
      <w:r>
        <w:rPr>
          <w:bCs/>
        </w:rPr>
        <w:t xml:space="preserve">далее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Департамент</w:t>
      </w:r>
      <w:r>
        <w:rPr>
          <w:bCs/>
        </w:rPr>
        <w:t xml:space="preserve">, Продавец) объявляет о проведении</w:t>
      </w:r>
      <w:r>
        <w:rPr>
          <w:bCs/>
        </w:rPr>
        <w:t xml:space="preserve"> </w:t>
      </w:r>
      <w:r>
        <w:rPr>
          <w:b/>
          <w:bCs/>
        </w:rPr>
        <w:t xml:space="preserve">30 января 2026</w:t>
      </w:r>
      <w:r>
        <w:rPr>
          <w:b/>
        </w:rPr>
        <w:t xml:space="preserve"> года</w:t>
      </w:r>
      <w:r>
        <w:rPr>
          <w:b/>
        </w:rPr>
        <w:t xml:space="preserve"> в 11.00</w:t>
      </w:r>
      <w:r>
        <w:rPr>
          <w:b/>
        </w:rPr>
        <w:t xml:space="preserve"> часов</w:t>
      </w:r>
      <w:r>
        <w:rPr>
          <w:b/>
        </w:rPr>
        <w:t xml:space="preserve"> по московскому времени</w:t>
      </w:r>
      <w:r>
        <w:rPr>
          <w:bCs/>
        </w:rPr>
        <w:t xml:space="preserve"> </w:t>
      </w:r>
      <w:r>
        <w:rPr>
          <w:bCs/>
        </w:rPr>
        <w:t xml:space="preserve">продажи </w:t>
      </w:r>
      <w:r>
        <w:rPr>
          <w:bCs/>
        </w:rPr>
        <w:t xml:space="preserve">государственного имущества Костромской области </w:t>
      </w:r>
      <w:r>
        <w:rPr>
          <w:bCs/>
        </w:rPr>
        <w:t xml:space="preserve">посредством публичного предложения </w:t>
      </w:r>
      <w:r>
        <w:rPr>
          <w:bCs/>
        </w:rPr>
        <w:t xml:space="preserve">в </w:t>
      </w:r>
      <w:r>
        <w:rPr>
          <w:bCs/>
        </w:rPr>
        <w:t xml:space="preserve">электронной форме</w:t>
      </w:r>
      <w:r>
        <w:rPr>
          <w:bCs/>
        </w:rPr>
        <w:t xml:space="preserve"> </w:t>
      </w:r>
      <w:r>
        <w:rPr>
          <w:bCs/>
        </w:rPr>
        <w:t xml:space="preserve">(далее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продажа имущества</w:t>
      </w:r>
      <w:r>
        <w:rPr>
          <w:bCs/>
        </w:rPr>
        <w:t xml:space="preserve">).</w:t>
      </w:r>
      <w:r>
        <w:rPr>
          <w:bCs/>
        </w:rPr>
        <w:t xml:space="preserve"> </w:t>
      </w:r>
      <w:r>
        <w:rPr>
          <w:bCs/>
        </w:rPr>
        <w:t xml:space="preserve">Продажа имущества проводится в </w:t>
      </w:r>
      <w:r>
        <w:rPr>
          <w:bCs/>
        </w:rPr>
        <w:t xml:space="preserve">соответствии с</w:t>
      </w:r>
      <w:r>
        <w:rPr>
          <w:bCs/>
        </w:rPr>
        <w:t xml:space="preserve">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27</w:t>
      </w:r>
      <w:r>
        <w:rPr>
          <w:bCs/>
        </w:rPr>
        <w:t xml:space="preserve"> августа </w:t>
      </w:r>
      <w:r>
        <w:rPr>
          <w:bCs/>
        </w:rPr>
        <w:t xml:space="preserve">2012 года № 860 «Об организации и проведении продажи государственного или муниципального имущества в электронной форме»</w:t>
      </w:r>
      <w:r>
        <w:rPr>
          <w:bCs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tbl>
      <w:tblPr>
        <w:tblW w:w="10236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6"/>
        <w:gridCol w:w="2551"/>
        <w:gridCol w:w="7229"/>
      </w:tblGrid>
      <w:tr>
        <w:tblPrEx/>
        <w:trPr>
          <w:trHeight w:val="1968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Продавец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37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Департамент имущественных и земельных отношений Костромской области </w:t>
            </w:r>
            <w:r>
              <w:rPr>
                <w:bCs/>
              </w:rPr>
            </w:r>
            <w:r/>
          </w:p>
          <w:p>
            <w:pPr>
              <w:pStyle w:val="937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Место нахождения: 1</w:t>
            </w:r>
            <w:r>
              <w:rPr>
                <w:bCs/>
              </w:rPr>
              <w:t xml:space="preserve">56013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Костромская область, </w:t>
            </w:r>
            <w:r>
              <w:rPr>
                <w:bCs/>
              </w:rPr>
              <w:t xml:space="preserve">г. Кострома, ул.</w:t>
            </w:r>
            <w:r>
              <w:rPr>
                <w:bCs/>
              </w:rPr>
              <w:t xml:space="preserve"> </w:t>
            </w:r>
            <w:r>
              <w:rPr>
                <w:bCs/>
              </w:rPr>
              <w:t xml:space="preserve">Калиновская, д. 38</w:t>
            </w:r>
            <w:r>
              <w:rPr>
                <w:bCs/>
              </w:rPr>
            </w:r>
            <w:r/>
          </w:p>
          <w:p>
            <w:pPr>
              <w:pStyle w:val="937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Ответственн</w:t>
            </w:r>
            <w:r>
              <w:rPr>
                <w:bCs/>
              </w:rPr>
              <w:t xml:space="preserve">ые</w:t>
            </w:r>
            <w:r>
              <w:rPr>
                <w:bCs/>
              </w:rPr>
              <w:t xml:space="preserve"> лиц</w:t>
            </w:r>
            <w:r>
              <w:rPr>
                <w:bCs/>
              </w:rPr>
              <w:t xml:space="preserve">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Продавца по</w:t>
            </w:r>
            <w:r>
              <w:rPr>
                <w:bCs/>
              </w:rPr>
              <w:t xml:space="preserve"> вопросам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проведения </w:t>
            </w:r>
            <w:r>
              <w:rPr>
                <w:bCs/>
              </w:rPr>
              <w:t xml:space="preserve">продажи имущества:</w:t>
            </w:r>
            <w:r>
              <w:rPr>
                <w:bCs/>
              </w:rPr>
            </w:r>
            <w:r/>
          </w:p>
          <w:p>
            <w:pPr>
              <w:pStyle w:val="937"/>
              <w:jc w:val="both"/>
              <w:spacing w:before="0" w:beforeAutospacing="0" w:after="0" w:afterAutospacing="0"/>
            </w:pPr>
            <w:r>
              <w:rPr>
                <w:bCs/>
              </w:rPr>
              <w:t xml:space="preserve">Бушманова Наталья Александровна </w:t>
            </w:r>
            <w:r>
              <w:rPr>
                <w:bCs/>
              </w:rPr>
              <w:t xml:space="preserve">тел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8</w:t>
            </w:r>
            <w:r>
              <w:rPr>
                <w:bCs/>
              </w:rPr>
              <w:t xml:space="preserve"> (4942) 45-20-</w:t>
            </w:r>
            <w:r>
              <w:rPr>
                <w:bCs/>
              </w:rPr>
              <w:t xml:space="preserve">12, </w:t>
            </w:r>
            <w:r>
              <w:rPr>
                <w:bCs/>
              </w:rPr>
              <w:t xml:space="preserve">  </w:t>
            </w:r>
            <w:r>
              <w:rPr>
                <w:bCs/>
              </w:rPr>
              <w:t xml:space="preserve">                    </w:t>
            </w:r>
            <w:r>
              <w:rPr>
                <w:bCs/>
              </w:rPr>
              <w:t xml:space="preserve">          </w:t>
            </w:r>
            <w:r>
              <w:rPr>
                <w:bCs/>
              </w:rPr>
              <w:t xml:space="preserve">8 (4942) 45-70-94, </w:t>
            </w:r>
            <w:r>
              <w:rPr>
                <w:bCs/>
                <w:lang w:val="en-US"/>
              </w:rPr>
              <w:t xml:space="preserve">e</w:t>
            </w:r>
            <w:r>
              <w:rPr>
                <w:bCs/>
              </w:rPr>
              <w:t xml:space="preserve">-</w:t>
            </w:r>
            <w:r>
              <w:rPr>
                <w:bCs/>
                <w:lang w:val="en-US"/>
              </w:rPr>
              <w:t xml:space="preserve">mail</w:t>
            </w:r>
            <w:r>
              <w:rPr>
                <w:bCs/>
              </w:rPr>
              <w:t xml:space="preserve">: </w:t>
            </w:r>
            <w:r>
              <w:rPr>
                <w:bCs/>
                <w:lang w:val="en-US"/>
              </w:rPr>
              <w:t xml:space="preserve">dizo@kostroma.gov.ru</w:t>
            </w:r>
            <w:r>
              <w:rPr>
                <w:bCs/>
              </w:rPr>
            </w:r>
            <w:r/>
          </w:p>
        </w:tc>
      </w:tr>
      <w:tr>
        <w:tblPrEx/>
        <w:trPr>
          <w:trHeight w:val="1884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Оператор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Электронная площадка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«</w:t>
            </w:r>
            <w:r>
              <w:rPr>
                <w:bCs/>
              </w:rPr>
              <w:t xml:space="preserve">РТС-тендер</w:t>
            </w:r>
            <w:r>
              <w:rPr>
                <w:bCs/>
              </w:rPr>
              <w:t xml:space="preserve">»</w:t>
            </w:r>
            <w:r>
              <w:rPr>
                <w:bCs/>
              </w:rPr>
              <w:t xml:space="preserve"> (</w:t>
            </w:r>
            <w:r>
              <w:rPr>
                <w:bCs/>
              </w:rPr>
              <w:t xml:space="preserve">Имущественные торги)</w:t>
            </w:r>
            <w:r>
              <w:rPr>
                <w:bCs/>
              </w:rPr>
              <w:t xml:space="preserve"> (далее –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электронная площадка, </w:t>
            </w:r>
            <w:r>
              <w:rPr>
                <w:bCs/>
              </w:rPr>
              <w:t xml:space="preserve">Оператор</w:t>
            </w:r>
            <w:r>
              <w:rPr>
                <w:bCs/>
              </w:rPr>
              <w:t xml:space="preserve">)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Место нахождения</w:t>
            </w:r>
            <w:r>
              <w:rPr>
                <w:bCs/>
              </w:rPr>
              <w:t xml:space="preserve"> ООО «РТС-тендер»</w:t>
            </w:r>
            <w:r>
              <w:rPr>
                <w:bCs/>
              </w:rPr>
              <w:t xml:space="preserve">: </w:t>
            </w:r>
            <w:r>
              <w:rPr>
                <w:bCs/>
              </w:rPr>
              <w:t xml:space="preserve">121151, г. Москва, набережная Тараса Шевченко, 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д. 23-А</w:t>
            </w:r>
            <w:r>
              <w:rPr>
                <w:bCs/>
              </w:rPr>
              <w:t xml:space="preserve">. </w:t>
            </w:r>
            <w:r>
              <w:rPr>
                <w:bCs/>
              </w:rPr>
              <w:t xml:space="preserve">Сайт: www.rts-tender.ru.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Адрес электронной почты: iSupport@rts-tender.ru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bCs/>
              </w:rPr>
              <w:t xml:space="preserve">тел.: +7 (499) 653-55-00, +7 </w:t>
            </w:r>
            <w:r>
              <w:rPr>
                <w:bCs/>
              </w:rPr>
              <w:t xml:space="preserve">(</w:t>
            </w:r>
            <w:r>
              <w:rPr>
                <w:bCs/>
              </w:rPr>
              <w:t xml:space="preserve">800)</w:t>
            </w:r>
            <w:r>
              <w:rPr>
                <w:bCs/>
              </w:rPr>
              <w:t xml:space="preserve"> </w:t>
            </w:r>
            <w:bookmarkStart w:id="1" w:name="_GoBack"/>
            <w:r/>
            <w:bookmarkEnd w:id="1"/>
            <w:r>
              <w:rPr>
                <w:bCs/>
              </w:rPr>
              <w:t xml:space="preserve">77-55-800</w:t>
            </w:r>
            <w:r>
              <w:rPr>
                <w:bCs/>
              </w:rPr>
              <w:t xml:space="preserve">, </w:t>
            </w:r>
            <w:r>
              <w:rPr>
                <w:bCs/>
              </w:rPr>
              <w:t xml:space="preserve">                                   </w:t>
            </w:r>
            <w:r>
              <w:rPr>
                <w:bCs/>
              </w:rPr>
              <w:t xml:space="preserve">                    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факс: +7 (495) 733-95-19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1875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Р</w:t>
            </w:r>
            <w:r>
              <w:rPr>
                <w:b/>
                <w:iCs/>
              </w:rPr>
              <w:t xml:space="preserve">ешение </w:t>
            </w:r>
            <w:r>
              <w:rPr>
                <w:b/>
                <w:iCs/>
              </w:rPr>
              <w:t xml:space="preserve">собственника о проведение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highlight w:val="white"/>
              </w:rPr>
            </w:pPr>
            <w:r>
              <w:rPr>
                <w:bCs/>
              </w:rPr>
            </w: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остановлени</w:t>
            </w:r>
            <w:r>
              <w:rPr>
                <w:bCs/>
              </w:rPr>
              <w:t xml:space="preserve">е</w:t>
            </w:r>
            <w:r>
              <w:rPr>
                <w:bCs/>
              </w:rPr>
              <w:t xml:space="preserve"> Костромской областной Думы </w:t>
            </w:r>
            <w:r>
              <w:rPr>
                <w:bCs/>
              </w:rPr>
              <w:t xml:space="preserve">от 24 ноября </w:t>
            </w:r>
            <w:r>
              <w:rPr>
                <w:bCs/>
              </w:rPr>
              <w:t xml:space="preserve">                  </w:t>
            </w:r>
            <w:r>
              <w:rPr>
                <w:bCs/>
              </w:rPr>
              <w:t xml:space="preserve">2022 года № 579 «О программе приватизации государственного имущества Костромской области на 2023-2025 годы»</w:t>
            </w:r>
            <w:r>
              <w:rPr>
                <w:bCs/>
              </w:rPr>
              <w:t xml:space="preserve">, распоряжени</w:t>
            </w:r>
            <w:r>
              <w:rPr>
                <w:bCs/>
              </w:rPr>
              <w:t xml:space="preserve">я департамента имущественных и земельных отношений Костромской области «Об условиях приватизации находящегося в государственной собственности Костромской области имущества»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о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т 15 декабря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2025 года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1129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,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№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1130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, № 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1133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, № 1134,</w:t>
            </w:r>
            <w:r>
              <w:rPr>
                <w:bCs/>
                <w:color w:val="000000" w:themeColor="text1"/>
                <w:highlight w:val="white"/>
                <w:lang w:val="ru-RU"/>
              </w:rPr>
              <w:t xml:space="preserve"> № 1135 </w:t>
            </w:r>
            <w:r>
              <w:rPr>
                <w:bCs/>
                <w:highlight w:val="white"/>
              </w:rPr>
              <w:t xml:space="preserve">(Пр</w:t>
            </w:r>
            <w:r>
              <w:rPr>
                <w:bCs/>
                <w:highlight w:val="white"/>
              </w:rPr>
              <w:t xml:space="preserve">и</w:t>
            </w:r>
            <w:r>
              <w:rPr>
                <w:bCs/>
                <w:highlight w:val="white"/>
              </w:rPr>
              <w:t xml:space="preserve">ложение № 1).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1723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Предмет 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(объекты продажи)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37"/>
              <w:jc w:val="both"/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 xml:space="preserve">5 лотов (см. Таблицу «Информация об условиях приватизации государственного имущества Костромской области, предлагаемого к продаже посредством публичного предложения 30 января                           2026 </w:t>
            </w:r>
            <w:r>
              <w:rPr>
                <w:bCs/>
                <w:iCs/>
              </w:rPr>
              <w:t xml:space="preserve">года», далее – Таблица).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  <w:p>
            <w:pPr>
              <w:pStyle w:val="937"/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Фотографи</w:t>
            </w:r>
            <w:r>
              <w:rPr>
                <w:iCs/>
              </w:rPr>
              <w:t xml:space="preserve">и Лот</w:t>
            </w:r>
            <w:r>
              <w:rPr>
                <w:iCs/>
              </w:rPr>
              <w:t xml:space="preserve">ов размещен</w:t>
            </w:r>
            <w:r>
              <w:rPr>
                <w:iCs/>
              </w:rPr>
              <w:t xml:space="preserve">ы в приложении </w:t>
            </w:r>
            <w:r>
              <w:rPr>
                <w:iCs/>
              </w:rPr>
              <w:t xml:space="preserve">№ 2</w:t>
            </w:r>
            <w:r>
              <w:rPr>
                <w:iCs/>
              </w:rPr>
              <w:t xml:space="preserve"> к настоящему информационному сообщению.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668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</w:t>
            </w:r>
            <w:r>
              <w:rPr>
                <w:b/>
                <w:iCs/>
              </w:rPr>
              <w:t xml:space="preserve">пособ приватизации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П</w:t>
            </w:r>
            <w:r>
              <w:rPr>
                <w:bCs/>
              </w:rPr>
              <w:t xml:space="preserve">родажа посредством публичного предложения</w:t>
            </w:r>
            <w:r>
              <w:rPr>
                <w:bCs/>
              </w:rPr>
              <w:t xml:space="preserve">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557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Начальная цена 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см. Таблицу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927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Форма подачи предложений о цене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Открытая форма подачи предложений.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274"/>
        </w:trPr>
        <w:tc>
          <w:tcPr>
            <w:shd w:val="clear" w:color="f2f2f2" w:fill="f2f2f2"/>
            <w:tcBorders>
              <w:bottom w:val="single" w:color="auto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bottom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bCs/>
                <w:iCs/>
              </w:rPr>
            </w:pPr>
            <w:r>
              <w:rPr>
                <w:rFonts w:eastAsia="Calibri"/>
                <w:b/>
                <w:bCs/>
              </w:rPr>
              <w:t xml:space="preserve">Условия и сроки платежа, необходимые реквизиты счетов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7229" w:type="dxa"/>
            <w:vAlign w:val="center"/>
            <w:textDirection w:val="lrTb"/>
            <w:noWrap w:val="false"/>
          </w:tcPr>
          <w:p>
            <w:pPr>
              <w:pStyle w:val="908"/>
              <w:ind w:firstLine="31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Костромской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производится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(покупателем) в течение 10 рабочих дней с даты заключения договора купли-продажи государственного имущества. Задаток, перечисленный победителем (покупателем) для участия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засчитывается в счёт оплаты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37"/>
              <w:jc w:val="both"/>
              <w:spacing w:before="0" w:beforeAutospacing="0" w:after="0" w:afterAutospacing="0"/>
              <w:rPr>
                <w:iCs/>
              </w:rPr>
            </w:pPr>
            <w:r>
              <w:t xml:space="preserve">Денежные средства должны быть внесены единовременно в безналичном порядке на счет Продавца: </w:t>
            </w:r>
            <w:r>
              <w:rPr>
                <w:sz w:val="24"/>
                <w:szCs w:val="28"/>
              </w:rPr>
              <w:t xml:space="preserve">получатель 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епартамент финансов Костромской области (департамент имущественных и земельных отношений Костромской области л/с 833010018)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ИНН 4401011825 КПП 440101001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Банк: ВОЛГО-ВЯТСКОЕ ГУ БАНКА РОССИИ//УФК по Костромской области, г. Кострома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Номер казначейского счета: 03222643340000004100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ИК ТОФК: 042202103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Единый казначейский счет (ЕКС): 40102810145370000103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6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Размер задатка, срок и порядок его внесения, необходимые реквизиты счетов</w:t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1) Для участия в продаже имущества Претенденты вносят задатки в размере, указанном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Таблице.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2)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Претендент обеспечивает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поступление задатка в срок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до 1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 час. 00 мин.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 московскому времени 26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.01.2026 (включительно).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3) Порядок внесения задатка определяется регламентом работы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соответствии с соглашением о гарантийном обеспечении на электронной площадке «РТС-тендер» имущественные торги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(далее – соглашение)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(Приложение №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Реквизиты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Оператора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для перечисления задатка: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Получатель ООО «РТС-тендер»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Наименование банка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Филиал «Корпоративный» ПАО «Совкомбанк»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Расчетный счет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0702810512030016362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Корр. счет 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30101810445250000360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БИК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044525360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7710357167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КПП </w:t>
            </w:r>
            <w:r>
              <w:rPr>
                <w:rFonts w:ascii="Times New Roman" w:hAnsi="Times New Roman" w:eastAsia="Times New Roman" w:cs="Times New Roman"/>
                <w:color w:val="202020"/>
                <w:sz w:val="24"/>
              </w:rPr>
              <w:t xml:space="preserve">773001001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Назначение платежа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внесение гарантийного обеспечения по Соглашению о внесении гарантийного обеспечения,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                                   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en-US"/>
              </w:rPr>
              <w:t xml:space="preserve">№ аналитического счета _________, без НДС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ascii="TimesNewRomanPSMT" w:hAnsi="TimesNewRomanPSMT" w:eastAsia="Calibri" w:cs="TimesNewRomanPSMT"/>
                <w:color w:val="000000"/>
                <w:lang w:eastAsia="en-US"/>
              </w:rPr>
              <w:t xml:space="preserve">4</w:t>
            </w:r>
            <w:r>
              <w:rPr>
                <w:rFonts w:eastAsia="Calibri"/>
                <w:color w:val="000000"/>
                <w:lang w:eastAsia="en-US"/>
              </w:rPr>
              <w:t xml:space="preserve">) Порядок возвращения задатка</w:t>
            </w:r>
            <w:r>
              <w:rPr>
                <w:rFonts w:eastAsia="Calibri"/>
                <w:color w:val="000000"/>
                <w:lang w:eastAsia="en-US"/>
              </w:rPr>
              <w:t xml:space="preserve">: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pStyle w:val="908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позднее, чем 5 (пять) дней со дня поступления уведомления об отзыве заявки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участником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возвращает задаток Претенденту путем перечисления суммы задатка на счет,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если Претендент не признан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Оператор перечисляет сумму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признания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несостоявш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Оператор возвращает задаток Претенденту путем перечисления суммы задатка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счет,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5 (пяти) дней с даты подведения итогов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отмены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соглашении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08"/>
              <w:ind w:firstLine="457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не возвращается: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0" w:beforeAutospacing="0" w:after="0" w:afterAutospacing="0"/>
            </w:pPr>
            <w:r>
              <w:t xml:space="preserve">- п</w:t>
            </w:r>
            <w:r>
              <w:t xml:space="preserve">ри уклонении или отказе победителя </w:t>
            </w:r>
            <w:r>
              <w:t xml:space="preserve">продажи имущества</w:t>
            </w:r>
            <w:r>
              <w:t xml:space="preserve"> от заключения в установленный срок договора купли-продажи имущества, он утрачивает право на заключение указанного договора</w:t>
            </w:r>
            <w:r>
              <w:t xml:space="preserve">;</w:t>
            </w:r>
            <w:r/>
          </w:p>
          <w:p>
            <w:pPr>
              <w:ind w:firstLine="540"/>
              <w:jc w:val="both"/>
              <w:spacing w:before="0" w:beforeAutospacing="0" w:after="0" w:afterAutospacing="0"/>
            </w:pPr>
            <w:r>
              <w:t xml:space="preserve">- з</w:t>
            </w:r>
            <w:r>
              <w:t xml:space="preserve">адаток, внесенный Претендентом, признанным Победителем </w:t>
            </w:r>
            <w:r>
              <w:t xml:space="preserve">продажи имущества</w:t>
            </w:r>
            <w:r>
              <w:t xml:space="preserve"> и заключившим с Продавцом договор купли-продажи приобретаемого </w:t>
            </w:r>
            <w:r>
              <w:t xml:space="preserve">государственного </w:t>
            </w:r>
            <w:r>
              <w:t xml:space="preserve">имущества, засчитывается Продавцом в счет оплаты приобретаемого имущества.</w:t>
            </w:r>
            <w:r/>
          </w:p>
          <w:p>
            <w:pPr>
              <w:pStyle w:val="908"/>
              <w:ind w:firstLine="540"/>
              <w:jc w:val="both"/>
              <w:spacing w:before="0" w:beforeAutospacing="0" w:after="0" w:afterAutospacing="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неисполнения Претендентом, признанным Победителем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продажи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заключившим с Продавцом договор купли-продажи, обязанности по оплате приобретаемого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в соответствии с указанным договором.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5) Условия договора о задатке, указанные в пп. 1-4 настоящего 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раздела являются условиями</w:t>
            </w:r>
            <w:r>
              <w:rPr>
                <w:rFonts w:eastAsia="Calibri"/>
                <w:color w:val="000000" w:themeColor="text1"/>
                <w:lang w:eastAsia="en-US"/>
              </w:rPr>
              <w:t xml:space="preserve"> публичной оферты в соответствии со </w:t>
            </w:r>
            <w:hyperlink r:id="rId9" w:tooltip="consultantplus://offline/ref=04C69D67FA7F00F8B2D92E624E108DE4AEA01442D49672C188D2DD2BF89EA41C613D87F19E3D74ED824B5019CC5567396D673E8E60DD755Fj7Z6L" w:history="1">
              <w:r>
                <w:rPr>
                  <w:rFonts w:eastAsia="Calibri"/>
                  <w:color w:val="000000" w:themeColor="text1"/>
                  <w:lang w:eastAsia="en-US"/>
                </w:rPr>
                <w:t xml:space="preserve">статьей 437</w:t>
              </w:r>
            </w:hyperlink>
            <w:r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Гражданского кодекса Российской Федерации.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) Плательщиком задатка может быть только претендент. Не допускается перечисление задатка иными лицами. Перечисленные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</w:tc>
      </w:tr>
      <w:tr>
        <w:tblPrEx/>
        <w:trPr>
          <w:trHeight w:val="3571"/>
        </w:trPr>
        <w:tc>
          <w:tcPr>
            <w:shd w:val="clear" w:color="f2f2f2" w:fill="f2f2f2"/>
            <w:tcBorders>
              <w:top w:val="single" w:color="auto" w:sz="4" w:space="0"/>
            </w:tcBorders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Borders>
              <w:top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Место, сроки подачи (приема) Заявок, определения Участников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проведения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 </w:t>
            </w:r>
            <w:r>
              <w:rPr>
                <w:b/>
                <w:iCs/>
              </w:rPr>
              <w:t xml:space="preserve">и подведения итогов продажи имущества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1) </w:t>
            </w:r>
            <w:r>
              <w:rPr>
                <w:rFonts w:eastAsia="Calibri"/>
              </w:rPr>
              <w:t xml:space="preserve">Место подачи (приема) Заявок: </w:t>
            </w:r>
            <w:bookmarkStart w:id="0" w:name="undefined"/>
            <w:r>
              <w:rPr>
                <w:rFonts w:eastAsia="Calibri"/>
              </w:rPr>
              <w:t xml:space="preserve">электронная площадка </w:t>
            </w:r>
            <w:r>
              <w:rPr>
                <w:rFonts w:eastAsia="Calibri"/>
              </w:rPr>
              <w:t xml:space="preserve">                                      </w:t>
            </w:r>
            <w:hyperlink r:id="rId10" w:tooltip="http://www.rts-tender.ru" w:history="1">
              <w:r>
                <w:rPr>
                  <w:rStyle w:val="879"/>
                  <w:rFonts w:eastAsia="Calibri"/>
                  <w:color w:val="000000" w:themeColor="text1"/>
                </w:rPr>
                <w:t xml:space="preserve">www.rts-tender.ru</w:t>
              </w:r>
            </w:hyperlink>
            <w:r>
              <w:rPr>
                <w:rFonts w:eastAsia="Calibri"/>
                <w:color w:val="000000" w:themeColor="text1"/>
              </w:rPr>
              <w:t xml:space="preserve"> (Оператор)</w:t>
            </w:r>
            <w:r>
              <w:rPr>
                <w:rFonts w:eastAsia="Calibri"/>
                <w:color w:val="000000" w:themeColor="text1"/>
              </w:rPr>
              <w:t xml:space="preserve">.</w:t>
            </w:r>
            <w:bookmarkEnd w:id="0"/>
            <w:r>
              <w:rPr>
                <w:rFonts w:eastAsia="Calibri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2) </w:t>
            </w:r>
            <w:r>
              <w:rPr>
                <w:rFonts w:eastAsia="Calibri"/>
              </w:rPr>
              <w:t xml:space="preserve">Дата и время начала подачи (приема) Заявок: 23</w:t>
            </w:r>
            <w:r>
              <w:rPr>
                <w:rFonts w:eastAsia="Calibri"/>
              </w:rPr>
              <w:t xml:space="preserve">.12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25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</w:t>
            </w:r>
            <w:r>
              <w:rPr>
                <w:rFonts w:eastAsia="Calibri"/>
              </w:rPr>
              <w:t xml:space="preserve">9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 московскому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времени.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Подача Заявок осуществляется круглосуточно.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  <w:t xml:space="preserve">)</w:t>
            </w:r>
            <w:r>
              <w:rPr>
                <w:rFonts w:eastAsia="Calibri"/>
              </w:rPr>
              <w:t xml:space="preserve"> Дата и время окончания подачи (приема) Заявок: 26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в</w:t>
            </w:r>
            <w:r>
              <w:rPr>
                <w:rFonts w:eastAsia="Calibri"/>
              </w:rPr>
              <w:t xml:space="preserve"> 1</w:t>
            </w:r>
            <w:r>
              <w:rPr>
                <w:rFonts w:eastAsia="Calibri"/>
              </w:rPr>
              <w:t xml:space="preserve">6 </w:t>
            </w:r>
            <w:r>
              <w:rPr>
                <w:rFonts w:eastAsia="Calibri"/>
              </w:rPr>
              <w:t xml:space="preserve">час. </w:t>
            </w:r>
            <w:r>
              <w:rPr>
                <w:rFonts w:eastAsia="Calibri"/>
              </w:rPr>
              <w:t xml:space="preserve">00 мин. п</w:t>
            </w:r>
            <w:r>
              <w:rPr>
                <w:rFonts w:eastAsia="Calibri"/>
              </w:rPr>
              <w:t xml:space="preserve">о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(включительно).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4) </w:t>
            </w:r>
            <w:r>
              <w:rPr>
                <w:rFonts w:eastAsia="Calibri"/>
              </w:rPr>
              <w:t xml:space="preserve">Дата определения </w:t>
            </w:r>
            <w:r>
              <w:rPr>
                <w:rFonts w:eastAsia="Calibri"/>
              </w:rPr>
              <w:t xml:space="preserve">у</w:t>
            </w:r>
            <w:r>
              <w:rPr>
                <w:rFonts w:eastAsia="Calibri"/>
              </w:rPr>
              <w:t xml:space="preserve">частников: 28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</w:t>
            </w:r>
            <w:r>
              <w:rPr>
                <w:rFonts w:eastAsia="Calibri"/>
              </w:rPr>
              <w:t xml:space="preserve">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в 1</w:t>
            </w:r>
            <w:r>
              <w:rPr>
                <w:rFonts w:eastAsia="Calibri"/>
              </w:rPr>
              <w:t xml:space="preserve">5 час. 00 мин. по московскому времени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eastAsia="Calibri"/>
              </w:rPr>
              <w:t xml:space="preserve">5)</w:t>
            </w:r>
            <w:r>
              <w:rPr>
                <w:rFonts w:eastAsia="Calibri"/>
              </w:rPr>
              <w:t xml:space="preserve"> Дата и время проведения </w:t>
            </w:r>
            <w:r>
              <w:rPr>
                <w:rFonts w:eastAsia="Calibri"/>
              </w:rPr>
              <w:t xml:space="preserve">продажи имущества</w:t>
            </w:r>
            <w:r>
              <w:rPr>
                <w:rFonts w:eastAsia="Calibri"/>
              </w:rPr>
              <w:t xml:space="preserve">: 30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        </w:t>
            </w:r>
            <w:r>
              <w:rPr>
                <w:rFonts w:eastAsia="Calibri"/>
              </w:rPr>
              <w:t xml:space="preserve">в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</w:t>
            </w:r>
            <w:r>
              <w:rPr>
                <w:rFonts w:eastAsia="Calibri"/>
              </w:rPr>
              <w:t xml:space="preserve"> мин. по</w:t>
            </w:r>
            <w:r>
              <w:rPr>
                <w:rFonts w:eastAsia="Calibri"/>
              </w:rPr>
              <w:t xml:space="preserve">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6) Срок подведения итогов продажи имущества</w:t>
            </w:r>
            <w:r>
              <w:rPr>
                <w:rFonts w:eastAsia="Calibri"/>
              </w:rPr>
              <w:t xml:space="preserve">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30</w:t>
            </w:r>
            <w:r>
              <w:rPr>
                <w:rFonts w:eastAsia="Calibri"/>
              </w:rPr>
              <w:t xml:space="preserve">.01</w:t>
            </w:r>
            <w:r>
              <w:rPr>
                <w:rFonts w:eastAsia="Calibri"/>
              </w:rPr>
              <w:t xml:space="preserve">.20</w:t>
            </w:r>
            <w:r>
              <w:rPr>
                <w:rFonts w:eastAsia="Calibri"/>
              </w:rPr>
              <w:t xml:space="preserve">26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с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11</w:t>
            </w:r>
            <w:r>
              <w:rPr>
                <w:rFonts w:eastAsia="Calibri"/>
              </w:rPr>
              <w:t xml:space="preserve"> час. </w:t>
            </w:r>
            <w:r>
              <w:rPr>
                <w:rFonts w:eastAsia="Calibri"/>
              </w:rPr>
              <w:t xml:space="preserve">00 мин. по </w:t>
            </w:r>
            <w:r>
              <w:rPr>
                <w:rFonts w:eastAsia="Calibri"/>
              </w:rPr>
              <w:t xml:space="preserve">московскому времени</w:t>
            </w:r>
            <w:r>
              <w:rPr>
                <w:rFonts w:eastAsia="Calibri"/>
                <w:color w:val="000000"/>
              </w:rPr>
            </w:r>
            <w:r>
              <w:rPr>
                <w:rFonts w:eastAsia="Calibri"/>
                <w:color w:val="000000"/>
              </w:rPr>
            </w:r>
          </w:p>
        </w:tc>
      </w:tr>
      <w:tr>
        <w:tblPrEx/>
        <w:trPr>
          <w:trHeight w:val="998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11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bCs/>
              </w:rPr>
              <w:t xml:space="preserve">Порядок о</w:t>
            </w:r>
            <w:r>
              <w:rPr>
                <w:b/>
                <w:bCs/>
              </w:rPr>
              <w:t xml:space="preserve">тказ</w:t>
            </w:r>
            <w:r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 xml:space="preserve">от </w:t>
            </w:r>
            <w:r>
              <w:rPr>
                <w:b/>
                <w:bCs/>
              </w:rPr>
              <w:t xml:space="preserve">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i/>
                <w:iCs/>
                <w:color w:val="0070c0"/>
              </w:rPr>
            </w:pPr>
            <w:r>
              <w:t xml:space="preserve">Продавец вправе отказаться от проведения </w:t>
            </w:r>
            <w:r>
              <w:t xml:space="preserve">продажи имущества</w:t>
            </w:r>
            <w:r>
              <w:t xml:space="preserve"> в любое время, </w:t>
            </w:r>
            <w:r>
              <w:rPr>
                <w:rFonts w:eastAsia="Calibri"/>
              </w:rPr>
              <w:t xml:space="preserve">но не позднее чем за три</w:t>
            </w:r>
            <w:r>
              <w:rPr>
                <w:rFonts w:eastAsia="Calibri"/>
              </w:rPr>
              <w:t xml:space="preserve"> д</w:t>
            </w:r>
            <w:r>
              <w:rPr>
                <w:rFonts w:eastAsia="Calibri"/>
              </w:rPr>
              <w:t xml:space="preserve">ня</w:t>
            </w:r>
            <w:r>
              <w:rPr>
                <w:rFonts w:eastAsia="Calibri"/>
              </w:rPr>
              <w:t xml:space="preserve"> до наступления даты его проведения.</w:t>
            </w:r>
            <w:r>
              <w:rPr>
                <w:i/>
                <w:iCs/>
                <w:color w:val="0070c0"/>
              </w:rPr>
            </w:r>
            <w:r>
              <w:rPr>
                <w:i/>
                <w:iCs/>
                <w:color w:val="0070c0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12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Порядок подачи (приема) и отзыва Заявок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1) </w:t>
            </w:r>
            <w:r>
              <w:rPr>
                <w:rFonts w:eastAsia="Calibri"/>
                <w:lang w:eastAsia="en-US"/>
              </w:rPr>
              <w:t xml:space="preserve">Заявка (Приложение 8) подается путем заполнения формы</w:t>
            </w:r>
            <w:r>
              <w:rPr>
                <w:rFonts w:eastAsia="Calibri"/>
                <w:lang w:eastAsia="en-US"/>
              </w:rPr>
              <w:t xml:space="preserve"> на электронной </w:t>
            </w:r>
            <w:r>
              <w:rPr>
                <w:rFonts w:eastAsia="Calibri"/>
                <w:lang w:eastAsia="en-US"/>
              </w:rPr>
              <w:t xml:space="preserve">площадке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в соответствии с </w:t>
            </w:r>
            <w:r>
              <w:rPr>
                <w:rFonts w:eastAsia="Calibri"/>
                <w:lang w:eastAsia="en-US"/>
              </w:rPr>
              <w:t xml:space="preserve">Приложением</w:t>
            </w:r>
            <w:r>
              <w:rPr>
                <w:rFonts w:eastAsia="Calibri"/>
                <w:lang w:eastAsia="en-US"/>
              </w:rPr>
              <w:t xml:space="preserve"> № </w:t>
            </w:r>
            <w:r>
              <w:rPr>
                <w:rFonts w:eastAsia="Calibri"/>
                <w:lang w:eastAsia="en-US"/>
              </w:rPr>
              <w:t xml:space="preserve">4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iCs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К данным документам также прилагается их опись в соответствии с Приложением № </w:t>
            </w:r>
            <w:r>
              <w:rPr>
                <w:rFonts w:eastAsia="Calibri"/>
                <w:lang w:eastAsia="en-US"/>
              </w:rPr>
              <w:t xml:space="preserve">5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iCs/>
              </w:rPr>
              <w:t xml:space="preserve">к настоящему информационному сообщению.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37"/>
              <w:jc w:val="both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2) </w:t>
            </w:r>
            <w:r>
              <w:rPr>
                <w:rFonts w:eastAsia="Calibri"/>
              </w:rPr>
              <w:t xml:space="preserve">Одно лицо имеет право подать только одну Заявку.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3) </w:t>
            </w:r>
            <w:r>
              <w:rPr>
                <w:rFonts w:eastAsia="Calibri"/>
                <w:lang w:eastAsia="en-US"/>
              </w:rPr>
              <w:t xml:space="preserve">Заявки </w:t>
            </w:r>
            <w:r>
              <w:rPr>
                <w:rFonts w:eastAsia="Calibri"/>
                <w:lang w:eastAsia="en-US"/>
              </w:rPr>
              <w:t xml:space="preserve">могут быть </w:t>
            </w:r>
            <w:r>
              <w:rPr>
                <w:rFonts w:eastAsia="Calibri"/>
                <w:lang w:eastAsia="en-US"/>
              </w:rPr>
              <w:t xml:space="preserve">пода</w:t>
            </w:r>
            <w:r>
              <w:rPr>
                <w:rFonts w:eastAsia="Calibri"/>
                <w:lang w:eastAsia="en-US"/>
              </w:rPr>
              <w:t xml:space="preserve">ны </w:t>
            </w:r>
            <w:r>
              <w:rPr>
                <w:rFonts w:eastAsia="Calibri"/>
                <w:lang w:eastAsia="en-US"/>
              </w:rPr>
              <w:t xml:space="preserve">на электронную площадку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с даты</w:t>
            </w:r>
            <w:r>
              <w:rPr>
                <w:rFonts w:eastAsia="Calibri"/>
                <w:lang w:eastAsia="en-US"/>
              </w:rPr>
              <w:t xml:space="preserve"> и времени</w:t>
            </w:r>
            <w:r>
              <w:rPr>
                <w:rFonts w:eastAsia="Calibri"/>
                <w:lang w:eastAsia="en-US"/>
              </w:rPr>
              <w:t xml:space="preserve"> начала подачи (приема) Заявок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п.2 </w:t>
            </w:r>
            <w:r>
              <w:rPr>
                <w:rFonts w:eastAsia="Calibri"/>
                <w:color w:val="000000"/>
                <w:lang w:eastAsia="en-US"/>
              </w:rPr>
              <w:t xml:space="preserve">раздела 10 информационного сообщения, </w:t>
            </w:r>
            <w:r>
              <w:rPr>
                <w:rFonts w:eastAsia="Calibri"/>
                <w:lang w:eastAsia="en-US"/>
              </w:rPr>
              <w:t xml:space="preserve">до времени и даты окончания подачи (приема) Заявок,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п.3 раздела 10 информационного сообщения</w:t>
            </w:r>
            <w:r>
              <w:rPr>
                <w:rFonts w:eastAsia="Calibri"/>
                <w:color w:val="000000"/>
                <w:lang w:eastAsia="en-US"/>
              </w:rPr>
              <w:t xml:space="preserve">.</w:t>
            </w:r>
            <w:r>
              <w:rPr>
                <w:rFonts w:eastAsia="Calibri"/>
                <w:color w:val="000000"/>
                <w:lang w:eastAsia="en-US"/>
              </w:rPr>
            </w:r>
            <w:r>
              <w:rPr>
                <w:rFonts w:eastAsia="Calibri"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4) </w:t>
            </w:r>
            <w:r>
              <w:rPr>
                <w:rFonts w:eastAsia="Calibri"/>
                <w:lang w:eastAsia="en-US"/>
              </w:rPr>
              <w:t xml:space="preserve">Заявки с прилагаемыми к ним документами, поданные с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нарушением установленного срока, на электронной площадке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 не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регистрируются.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5) </w:t>
            </w:r>
            <w:r>
              <w:rPr>
                <w:rFonts w:eastAsia="Calibri"/>
                <w:lang w:eastAsia="en-US"/>
              </w:rPr>
              <w:t xml:space="preserve">Претендент вправе 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до даты признания претендента участником продажи посредством публичного предложения</w:t>
            </w:r>
            <w:r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указанной в п.4 раздела 1</w:t>
            </w:r>
            <w:r>
              <w:rPr>
                <w:rFonts w:eastAsia="Calibri"/>
                <w:color w:val="000000"/>
                <w:lang w:eastAsia="en-US"/>
              </w:rPr>
              <w:t xml:space="preserve">0 информационного сообщения, </w:t>
            </w:r>
            <w:r>
              <w:rPr>
                <w:rFonts w:eastAsia="Calibri"/>
                <w:lang w:eastAsia="en-US"/>
              </w:rPr>
              <w:t xml:space="preserve">отозвать Заявку путем направления уведомления об отзыве Заявки на</w:t>
            </w:r>
            <w:r>
              <w:rPr>
                <w:rFonts w:eastAsia="Calibri"/>
                <w:lang w:eastAsia="en-US"/>
              </w:rPr>
              <w:t xml:space="preserve"> </w:t>
            </w:r>
            <w:r>
              <w:rPr>
                <w:rFonts w:eastAsia="Calibri"/>
                <w:lang w:eastAsia="en-US"/>
              </w:rPr>
              <w:t xml:space="preserve">электронную площадку</w:t>
            </w:r>
            <w:r>
              <w:rPr>
                <w:rFonts w:eastAsia="Calibri"/>
                <w:lang w:eastAsia="en-US"/>
              </w:rPr>
              <w:t xml:space="preserve"> Оператора</w:t>
            </w:r>
            <w:r>
              <w:rPr>
                <w:rFonts w:eastAsia="Calibri"/>
                <w:lang w:eastAsia="en-US"/>
              </w:rPr>
              <w:t xml:space="preserve">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  <w:tr>
        <w:tblPrEx/>
        <w:trPr>
          <w:trHeight w:val="1419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3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Исчерпывающий перечень представляемых документов и требования к их оформлению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Информация указана в Приложении № </w:t>
            </w:r>
            <w:r>
              <w:rPr>
                <w:rFonts w:eastAsia="Calibri"/>
                <w:bCs/>
                <w:lang w:eastAsia="en-US"/>
              </w:rPr>
              <w:t xml:space="preserve">4 к настоящему информационному сообщению.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>
          <w:trHeight w:val="1030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14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</w:rPr>
              <w:t xml:space="preserve">Требования и у</w:t>
            </w:r>
            <w:r>
              <w:rPr>
                <w:rFonts w:eastAsia="Calibri"/>
                <w:b/>
                <w:bCs/>
              </w:rPr>
              <w:t xml:space="preserve">словия допуска к участию в </w:t>
            </w:r>
            <w:r>
              <w:rPr>
                <w:b/>
                <w:iCs/>
              </w:rPr>
              <w:t xml:space="preserve">продаже имущества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t xml:space="preserve">Участник </w:t>
            </w:r>
            <w:r>
              <w:t xml:space="preserve">продажи имущества</w:t>
            </w:r>
            <w:r>
              <w:t xml:space="preserve"> (далее - Участник) – </w:t>
            </w:r>
            <w:r>
              <w:t xml:space="preserve">п</w:t>
            </w:r>
            <w:r>
              <w:t xml:space="preserve">ретендент, признанный Продавцом Участником.</w:t>
            </w:r>
            <w:r/>
          </w:p>
          <w:p>
            <w:pPr>
              <w:pStyle w:val="857"/>
              <w:jc w:val="both"/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2" w:name="_Toc467070603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участию в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продаже имущества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в порядке и сроки, указанные в информационном сообщении о проведении продажи.</w:t>
            </w:r>
            <w:bookmarkEnd w:id="2"/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Претендент не допускается к участию в продаже имущества по следующим основаниям: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а) заявка представлена лицом, не уполномоченным претендентом на осуществление таких действий;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в) представлен не полный пакет доку</w:t>
            </w:r>
            <w:r>
              <w:rPr>
                <w:rFonts w:eastAsia="Calibri"/>
                <w:bCs/>
                <w:lang w:eastAsia="en-US"/>
              </w:rPr>
              <w:t xml:space="preserve">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г) не поступление в установленный срок задатка.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5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Срок заключения договора купли-продажи </w:t>
            </w:r>
            <w:r>
              <w:rPr>
                <w:b/>
                <w:iCs/>
              </w:rPr>
              <w:t xml:space="preserve">и ответственность за уклонение или отказ от заключения договора купли-продажи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pStyle w:val="857"/>
              <w:jc w:val="both"/>
              <w:spacing w:before="0" w:beforeAutospacing="0" w:after="0" w:afterAutospacing="0"/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По результатам продажи имущества Продавец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и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 победитель (покупатель) в течение 5 (пяти) рабочих дней с даты подведения итогов продажи имущества заключают договор купли-продажи             в виде электронного документа, проект которого приведен в приложении № 6 к настоящему информационному сообщению.</w:t>
            </w:r>
            <w:bookmarkStart w:id="3" w:name="_Toc467070671"/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857"/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При уклонении или отказе победителя от заключения в установленный срок договора купли-продажи результаты 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продажи имущества аннулируются, п</w:t>
            </w:r>
            <w:r>
              <w:rPr>
                <w:rFonts w:ascii="Times New Roman" w:hAnsi="Times New Roman" w:eastAsia="Calibri"/>
                <w:b w:val="0"/>
                <w:bCs w:val="0"/>
                <w:iCs/>
                <w:color w:val="000000"/>
                <w:sz w:val="24"/>
                <w:szCs w:val="24"/>
                <w:lang w:eastAsia="en-US"/>
              </w:rPr>
              <w:t xml:space="preserve">обедитель утрачивает право на заключение указанного договора, задаток ему не возвращается.</w:t>
            </w:r>
            <w:bookmarkEnd w:id="3"/>
            <w:r/>
            <w:r/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6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Порядок ознакомления Претендентов с информацией, условиями договора купли-</w:t>
            </w:r>
            <w:r>
              <w:rPr>
                <w:rFonts w:eastAsia="Calibri"/>
                <w:b/>
                <w:bCs/>
              </w:rPr>
              <w:t xml:space="preserve">продажи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b/>
                <w:bCs/>
                <w:color w:val="000000"/>
                <w:lang w:eastAsia="en-US"/>
              </w:rPr>
            </w:pPr>
            <w:r/>
            <w:bookmarkStart w:id="4" w:name="_Toc467070617"/>
            <w:r>
              <w:rPr>
                <w:rFonts w:eastAsia="Calibri"/>
                <w:color w:val="000000"/>
                <w:lang w:eastAsia="en-US"/>
              </w:rPr>
              <w:t xml:space="preserve">Любое лицо, независимо от регистрации на </w:t>
            </w:r>
            <w:r>
              <w:rPr>
                <w:rFonts w:eastAsia="Calibri"/>
                <w:color w:val="000000"/>
                <w:lang w:eastAsia="en-US"/>
              </w:rPr>
              <w:t xml:space="preserve">электронной площадке</w:t>
            </w:r>
            <w:r>
              <w:rPr>
                <w:rFonts w:eastAsia="Calibri"/>
                <w:color w:val="000000"/>
                <w:lang w:eastAsia="en-US"/>
              </w:rPr>
              <w:t xml:space="preserve"> 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вправе на</w:t>
            </w:r>
            <w:r>
              <w:rPr>
                <w:rFonts w:eastAsia="Calibri"/>
                <w:color w:val="000000"/>
                <w:lang w:eastAsia="en-US"/>
              </w:rPr>
              <w:t xml:space="preserve">править на электронный адрес </w:t>
            </w:r>
            <w:r>
              <w:rPr>
                <w:rFonts w:eastAsia="Calibri"/>
                <w:color w:val="000000"/>
                <w:lang w:eastAsia="en-US"/>
              </w:rPr>
              <w:t xml:space="preserve">Оператора</w:t>
            </w:r>
            <w:r>
              <w:rPr>
                <w:rFonts w:eastAsia="Calibri"/>
                <w:color w:val="000000"/>
                <w:lang w:eastAsia="en-US"/>
              </w:rPr>
              <w:t xml:space="preserve">, указанный в информационном сообщении, запрос о разъяснении размещенной информации. Запрос разъяснений подлежит рассмотрению Пр</w:t>
            </w:r>
            <w:r>
              <w:rPr>
                <w:rFonts w:eastAsia="Calibri"/>
                <w:color w:val="000000"/>
                <w:lang w:eastAsia="en-US"/>
              </w:rPr>
              <w:t xml:space="preserve">одавцом, если он был получен </w:t>
            </w:r>
            <w:r>
              <w:rPr>
                <w:rFonts w:eastAsia="Calibri"/>
                <w:color w:val="000000"/>
                <w:lang w:eastAsia="en-US"/>
              </w:rPr>
              <w:t xml:space="preserve">Оператором</w:t>
            </w:r>
            <w:r>
              <w:rPr>
                <w:rFonts w:eastAsia="Calibri"/>
                <w:color w:val="000000"/>
                <w:lang w:eastAsia="en-US"/>
              </w:rPr>
              <w:t xml:space="preserve">, не позднее чем за 5 (пять) рабочих дней до даты </w:t>
            </w:r>
            <w:r>
              <w:rPr>
                <w:rFonts w:eastAsia="Calibri"/>
                <w:color w:val="000000"/>
                <w:lang w:eastAsia="en-US"/>
              </w:rPr>
              <w:t xml:space="preserve">и времени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окончания приема заявок, указанной в информационном сообщении о проведении продажи</w:t>
            </w:r>
            <w:r>
              <w:rPr>
                <w:rFonts w:eastAsia="Calibri"/>
                <w:color w:val="000000"/>
                <w:lang w:eastAsia="en-US"/>
              </w:rPr>
              <w:t xml:space="preserve"> имущества</w:t>
            </w:r>
            <w:r>
              <w:rPr>
                <w:rFonts w:eastAsia="Calibri"/>
                <w:color w:val="000000"/>
                <w:lang w:eastAsia="en-US"/>
              </w:rPr>
              <w:t xml:space="preserve">, </w:t>
            </w:r>
            <w:r>
              <w:rPr>
                <w:rFonts w:eastAsia="Calibri"/>
                <w:color w:val="000000"/>
                <w:lang w:eastAsia="en-US"/>
              </w:rPr>
              <w:t xml:space="preserve">указанных в п.3 раздела </w:t>
            </w:r>
            <w:r>
              <w:rPr>
                <w:rFonts w:eastAsia="Calibri"/>
                <w:color w:val="000000"/>
                <w:lang w:eastAsia="en-US"/>
              </w:rPr>
              <w:t xml:space="preserve">10</w:t>
            </w:r>
            <w:r>
              <w:rPr>
                <w:rFonts w:eastAsia="Calibri"/>
                <w:color w:val="000000"/>
                <w:lang w:eastAsia="en-US"/>
              </w:rPr>
              <w:t xml:space="preserve"> информационного сообщения</w:t>
            </w:r>
            <w:bookmarkEnd w:id="4"/>
            <w:r>
              <w:rPr>
                <w:rFonts w:eastAsia="Calibri"/>
                <w:color w:val="000000"/>
                <w:lang w:eastAsia="en-US"/>
              </w:rPr>
              <w:t xml:space="preserve"> (Приложение № </w:t>
            </w:r>
            <w:r>
              <w:rPr>
                <w:rFonts w:eastAsia="Calibri"/>
                <w:color w:val="000000"/>
                <w:lang w:eastAsia="en-US"/>
              </w:rPr>
              <w:t xml:space="preserve">7).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направления запроса иностранными лицами такой запрос должен иметь перевод на русский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язык.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 xml:space="preserve">С иной информацией, условиями договора купли-продажи претенденты могут ознакомиться в департаменте имущественных и земельных отношений Костромской области по адресу: г. Кострома, ул. Калиновская, д. 38, ком. 222, по телефонам </w:t>
            </w:r>
            <w:r>
              <w:rPr>
                <w:iCs/>
              </w:rPr>
              <w:t xml:space="preserve">+7 </w:t>
            </w:r>
            <w:r>
              <w:rPr>
                <w:iCs/>
              </w:rPr>
              <w:t xml:space="preserve">(4942) 45-20-12, 45-70-94 либо на сайтах в сети «Интернет»: официальном сайте Российской Федерации </w:t>
            </w:r>
            <w:r>
              <w:rPr>
                <w:iCs/>
              </w:rPr>
              <w:t xml:space="preserve">для размещения информации о проведении торгов</w:t>
            </w:r>
            <w:r>
              <w:rPr>
                <w:iCs/>
              </w:rPr>
              <w:t xml:space="preserve"> www.torgi.gov.ru, на сайте продавца - департамента имущественных и земельных отношений Костромской области </w:t>
            </w:r>
            <w:r>
              <w:rPr>
                <w:iCs/>
              </w:rPr>
              <w:t xml:space="preserve">dizo.kostroma.gov.ru</w:t>
            </w:r>
            <w:r>
              <w:rPr>
                <w:iCs/>
              </w:rPr>
              <w:t xml:space="preserve">,</w:t>
            </w:r>
            <w:r>
              <w:rPr>
                <w:iCs/>
              </w:rPr>
              <w:t xml:space="preserve"> на Портале государственных органов Костромской области www.аdm44.ru.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7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Ограничения участия отдельных категорий физических лиц и юридических лиц в приватизации имущества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В соответствии со статьей 5 </w:t>
            </w:r>
            <w:r>
              <w:rPr>
                <w:rFonts w:eastAsia="Calibri"/>
                <w:color w:val="00000a"/>
                <w:lang w:eastAsia="en-US"/>
              </w:rPr>
              <w:t xml:space="preserve">Федерального закона от 21 декабря 2001 года № 178-ФЗ «О приватизации государственного и муниципального имущества»</w:t>
            </w:r>
            <w:r>
              <w:rPr>
                <w:rFonts w:eastAsia="Calibri"/>
                <w:color w:val="00000a"/>
                <w:lang w:eastAsia="en-US"/>
              </w:rPr>
              <w:t xml:space="preserve"> п</w:t>
            </w:r>
            <w:r>
              <w:rPr>
                <w:rFonts w:eastAsia="Calibri"/>
                <w:color w:val="00000a"/>
                <w:lang w:eastAsia="en-US"/>
              </w:rPr>
              <w:t xml:space="preserve">окупателями имущества могут быть любые физические и юридические лица, за исключением: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государственных и муниципальных унитарных предприятий, государственных и муниципальных учреждений;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ind w:firstLine="317"/>
              <w:jc w:val="both"/>
              <w:spacing w:before="0" w:beforeAutospacing="0" w:after="0" w:afterAutospacing="0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 xml:space="preserve">юридических лиц, в уставном капитале которых доля Росси</w:t>
            </w:r>
            <w:r>
              <w:rPr>
                <w:rFonts w:eastAsia="Calibri"/>
                <w:color w:val="00000a"/>
                <w:lang w:eastAsia="en-US"/>
              </w:rPr>
              <w:t xml:space="preserve">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  <w:r>
              <w:rPr>
                <w:rFonts w:eastAsia="Calibri"/>
                <w:color w:val="00000a"/>
                <w:lang w:eastAsia="en-US"/>
              </w:rPr>
            </w:r>
            <w:r>
              <w:rPr>
                <w:rFonts w:eastAsia="Calibri"/>
                <w:color w:val="00000a"/>
                <w:lang w:eastAsia="en-US"/>
              </w:rPr>
            </w:r>
          </w:p>
          <w:p>
            <w:pPr>
              <w:pStyle w:val="923"/>
              <w:ind w:firstLine="318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tooltip="consultantplus://offline/ref=C40AFE508C514D370134858A427D488572E28F346EB751B3176E2E17DCF8B6FF67495B5Eo2J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перечень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850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</w:t>
            </w:r>
            <w:r>
              <w:rPr>
                <w:b/>
                <w:iCs/>
              </w:rPr>
              <w:t xml:space="preserve">8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Порядок проведения </w:t>
            </w:r>
            <w:r>
              <w:rPr>
                <w:b/>
                <w:iCs/>
              </w:rPr>
              <w:t xml:space="preserve">продажи имущества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и о</w:t>
            </w:r>
            <w:r>
              <w:rPr>
                <w:b/>
              </w:rPr>
              <w:t xml:space="preserve">пределени</w:t>
            </w:r>
            <w:r>
              <w:rPr>
                <w:b/>
              </w:rPr>
              <w:t xml:space="preserve">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обедителя</w:t>
            </w:r>
            <w:r>
              <w:rPr>
                <w:b/>
              </w:rPr>
              <w:t xml:space="preserve"> продажи имущества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Продажа имущества проводится в день и во время, указанные </w:t>
            </w:r>
            <w:r>
              <w:rPr>
                <w:rFonts w:eastAsia="Calibri"/>
                <w:color w:val="000000"/>
                <w:lang w:eastAsia="en-US"/>
              </w:rPr>
              <w:t xml:space="preserve">п.5 раздела </w:t>
            </w:r>
            <w:r>
              <w:rPr>
                <w:rFonts w:eastAsia="Calibri"/>
                <w:color w:val="000000"/>
                <w:lang w:eastAsia="en-US"/>
              </w:rPr>
              <w:t xml:space="preserve">10</w:t>
            </w:r>
            <w:r>
              <w:rPr>
                <w:rFonts w:eastAsia="Calibri"/>
                <w:color w:val="000000"/>
                <w:lang w:eastAsia="en-US"/>
              </w:rPr>
              <w:t xml:space="preserve"> информационного сообщения</w:t>
            </w:r>
            <w:r>
              <w:rPr>
                <w:rFonts w:eastAsia="Calibri"/>
                <w:lang w:eastAsia="en-US"/>
              </w:rPr>
              <w:t xml:space="preserve">, путем последовательного понижения цены первоначального предложения (цена имущества, указанная в </w:t>
            </w:r>
            <w:r>
              <w:rPr>
                <w:rFonts w:eastAsia="Calibri"/>
                <w:lang w:eastAsia="en-US"/>
              </w:rPr>
              <w:t xml:space="preserve">Таблице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  <w:lang w:eastAsia="en-US"/>
              </w:rPr>
              <w:t xml:space="preserve"> на величину, равную величине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шага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но не ниже цены отсечения.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</w:t>
            </w:r>
            <w:r>
              <w:rPr>
                <w:rFonts w:eastAsia="Calibri"/>
                <w:lang w:eastAsia="en-US"/>
              </w:rPr>
              <w:t xml:space="preserve">предложения и 10 минут на представление предложений о цене имущества на каждом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при отсутствии предложений других участников.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случае если любой из участников подтверждают цену первоначального предложения или цену предложения, сложившуюся на одном из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шагов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, со всеми участниками проводится аукцион в порядке, установленном разделом II </w:t>
            </w:r>
            <w:r>
              <w:rPr>
                <w:bCs/>
              </w:rPr>
              <w:t xml:space="preserve">постановлени</w:t>
            </w:r>
            <w:r>
              <w:rPr>
                <w:bCs/>
              </w:rPr>
              <w:t xml:space="preserve">я</w:t>
            </w:r>
            <w:r>
              <w:rPr>
                <w:bCs/>
              </w:rPr>
              <w:t xml:space="preserve">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</w:t>
            </w:r>
            <w:r>
              <w:rPr>
                <w:bCs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</w:t>
            </w: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шаге понижения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  <w:t xml:space="preserve">. Время приема предложений участников о цене имущества составляет 10 минут.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37"/>
              <w:jc w:val="both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eastAsia="Calibri"/>
              </w:rPr>
              <w:t xml:space="preserve"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908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Продажа имущества посредством публичного предложения признается несостоявшейся в следующих случаях:</w:t>
            </w:r>
            <w:r/>
          </w:p>
          <w:p>
            <w:pPr>
              <w:pStyle w:val="908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  <w:r/>
          </w:p>
          <w:p>
            <w:pPr>
              <w:pStyle w:val="908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б) принято решение о признании только одного претендента участником;</w:t>
            </w:r>
            <w:r/>
          </w:p>
          <w:p>
            <w:pPr>
              <w:pStyle w:val="908"/>
              <w:ind w:firstLine="0"/>
              <w:jc w:val="both"/>
              <w:spacing w:before="0" w:beforeAutospacing="0" w:after="0" w:afterAutospacing="0"/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в) ни один из участников не сделал предложение о цене имущества при достижении минимальной цены продажи (цены отсечения) имущества.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/>
          </w:p>
          <w:p>
            <w:pPr>
              <w:pStyle w:val="908"/>
              <w:ind w:firstLine="0"/>
              <w:jc w:val="both"/>
              <w:spacing w:before="0" w:beforeAutospacing="0" w:after="0" w:afterAutospacing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3005"/>
        </w:trPr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19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pStyle w:val="937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t xml:space="preserve">По </w:t>
            </w:r>
            <w:r>
              <w:rPr>
                <w:highlight w:val="none"/>
              </w:rPr>
              <w:t xml:space="preserve">лотам </w:t>
            </w:r>
            <w:r>
              <w:t xml:space="preserve"> № 1, </w:t>
            </w:r>
            <w:r>
              <w:rPr>
                <w:lang w:val="ru-RU"/>
              </w:rPr>
              <w:t xml:space="preserve">№ 2, </w:t>
            </w:r>
            <w:r>
              <w:rPr>
                <w:highlight w:val="none"/>
              </w:rPr>
              <w:t xml:space="preserve">№ 3, № 4, № 5 </w:t>
            </w:r>
            <w:r>
              <w:t xml:space="preserve">торги </w:t>
            </w:r>
            <w:r>
              <w:t xml:space="preserve">25 января 2025 года,                     14 марта 2025 года, 7 мая 2025 года, 4 июля 2025 года, 26 сентября 2025 года, 28 ноября 2025 года</w:t>
            </w:r>
            <w:r>
              <w:t xml:space="preserve"> признаны несостоявшимися по причине отсутствия заявок.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</w:pPr>
            <w:r>
              <w:rPr>
                <w:highlight w:val="none"/>
              </w:rPr>
            </w:r>
            <w:r/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shd w:val="clear" w:color="f2f2f2" w:fill="f2f2f2"/>
            <w:tcW w:w="456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b/>
                <w:iCs/>
              </w:rPr>
              <w:t xml:space="preserve">20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f2f2f2" w:fill="f2f2f2"/>
            <w:tcW w:w="2551" w:type="dxa"/>
            <w:textDirection w:val="lrTb"/>
            <w:noWrap w:val="false"/>
          </w:tcPr>
          <w:p>
            <w:pPr>
              <w:spacing w:before="0" w:beforeAutospacing="0" w:after="0" w:afterAutospacing="0"/>
              <w:rPr>
                <w:b/>
                <w:iCs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Порядок осмотра </w:t>
            </w: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Лота (объекта) 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  <w:tc>
          <w:tcPr>
            <w:shd w:val="clear" w:color="auto" w:fill="auto"/>
            <w:tcW w:w="7229" w:type="dxa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производится без взимания платы по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предварительному согласованию даты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времени проведения осмотра на основании направленного обращения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на электронный адрес: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dizo@kostroma.gov.ru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либо по телефонам: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+ 7 (4942) 45-20-12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45-70-94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В случае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направл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ения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обращени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по электронной почте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</w:t>
            </w:r>
            <w:hyperlink r:id="rId12" w:tooltip="mailto:dizo@adm44.ru" w:history="1">
              <w:r>
                <w:rPr>
                  <w:rStyle w:val="879"/>
                  <w:rFonts w:ascii="Times New Roman" w:hAnsi="Times New Roman" w:eastAsia="Times New Roman" w:cs="Times New Roman"/>
                  <w:bCs/>
                  <w:lang w:val="en-US"/>
                </w:rPr>
              </w:r>
              <w:r>
                <w:rPr>
                  <w:rStyle w:val="879"/>
                  <w:rFonts w:ascii="Times New Roman" w:hAnsi="Times New Roman" w:eastAsia="Times New Roman" w:cs="Times New Roman"/>
                  <w:bCs/>
                  <w:lang w:val="en-US"/>
                </w:rPr>
                <w:t xml:space="preserve">dizo@kostroma.gov.ru</w:t>
              </w:r>
              <w:r>
                <w:rPr>
                  <w:rStyle w:val="879"/>
                  <w:rFonts w:ascii="Times New Roman" w:hAnsi="Times New Roman" w:eastAsia="Times New Roman" w:cs="Times New Roman"/>
                  <w:bCs/>
                  <w:lang w:val="en-US"/>
                </w:rPr>
              </w:r>
            </w:hyperlink>
            <w:r>
              <w:rPr>
                <w:rFonts w:ascii="Times New Roman" w:hAnsi="Times New Roman" w:eastAsia="Times New Roman" w:cs="Times New Roman"/>
                <w:bCs/>
              </w:rPr>
              <w:t xml:space="preserve"> необходимо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указа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ть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следующи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данны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тема письма: Запрос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Ф.И.О. лица, уполномоченного на осмотр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лота № (объекта) 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(физического лица, индивидуального предпринимателя, руководителя юридического лица или их представителей);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наименование юридического лица (для юридического лица);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почтовый адрес или адрес электронной почты, контактный телефон;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дата торгов;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/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- местоположение (адрес)</w:t>
            </w:r>
            <w:r>
              <w:rPr>
                <w:rFonts w:ascii="Times New Roman" w:hAnsi="Times New Roman" w:eastAsia="Times New Roman" w:cs="Times New Roman"/>
                <w:color w:val="000000"/>
                <w:lang w:eastAsia="en-US"/>
              </w:rPr>
              <w:t xml:space="preserve"> лота №  (объекта).</w:t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  <w:r>
              <w:rPr>
                <w:rFonts w:ascii="Times New Roman" w:hAnsi="Times New Roman" w:eastAsia="Times New Roman" w:cs="Times New Roman"/>
                <w:color w:val="000000"/>
              </w:rPr>
            </w:r>
          </w:p>
          <w:p>
            <w:pPr>
              <w:jc w:val="both"/>
              <w:spacing w:before="0" w:beforeAutospacing="0" w:after="0" w:afterAutospacing="0"/>
              <w:rPr>
                <w:rFonts w:ascii="Times New Roman" w:hAnsi="Times New Roman" w:eastAsia="Times New Roman" w:cs="Times New Roman"/>
                <w:iCs/>
              </w:rPr>
            </w:pPr>
            <w:r>
              <w:rPr>
                <w:rFonts w:ascii="Times New Roman" w:hAnsi="Times New Roman" w:eastAsia="Times New Roman" w:cs="Times New Roman"/>
                <w:iCs/>
              </w:rPr>
            </w:r>
            <w:r>
              <w:rPr>
                <w:rFonts w:ascii="Times New Roman" w:hAnsi="Times New Roman" w:eastAsia="Times New Roman" w:cs="Times New Roman"/>
                <w:iCs/>
              </w:rPr>
            </w:r>
            <w:r>
              <w:rPr>
                <w:rFonts w:ascii="Times New Roman" w:hAnsi="Times New Roman" w:eastAsia="Times New Roman" w:cs="Times New Roman"/>
                <w:iCs/>
              </w:rPr>
            </w:r>
          </w:p>
        </w:tc>
      </w:tr>
    </w:tbl>
    <w:p>
      <w:pPr>
        <w:rPr>
          <w:rFonts w:eastAsia="MS Mincho"/>
        </w:r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rPr>
          <w:rFonts w:eastAsia="MS Mincho"/>
        </w:rPr>
        <w:sectPr>
          <w:footnotePr/>
          <w:endnotePr/>
          <w:type w:val="nextPage"/>
          <w:pgSz w:w="11906" w:h="16838" w:orient="portrait"/>
          <w:pgMar w:top="964" w:right="567" w:bottom="907" w:left="1418" w:header="720" w:footer="720" w:gutter="0"/>
          <w:cols w:num="1" w:sep="0" w:space="720" w:equalWidth="1"/>
          <w:docGrid w:linePitch="360"/>
          <w:titlePg/>
        </w:sectPr>
      </w:pPr>
      <w:r>
        <w:rPr>
          <w:rFonts w:eastAsia="MS Mincho"/>
        </w:rPr>
      </w:r>
      <w:r>
        <w:rPr>
          <w:rFonts w:eastAsia="MS Mincho"/>
        </w:rPr>
      </w:r>
      <w:r>
        <w:rPr>
          <w:rFonts w:eastAsia="MS Mincho"/>
        </w:rPr>
      </w:r>
    </w:p>
    <w:p>
      <w:pPr>
        <w:jc w:val="right"/>
        <w:rPr>
          <w:rFonts w:eastAsia="MS Mincho"/>
          <w:sz w:val="28"/>
          <w:szCs w:val="28"/>
          <w:highlight w:val="none"/>
        </w:rPr>
      </w:pPr>
      <w:r>
        <w:rPr>
          <w:rFonts w:eastAsia="MS Mincho"/>
          <w:sz w:val="28"/>
          <w:szCs w:val="28"/>
        </w:rPr>
        <w:t xml:space="preserve">Таблица</w:t>
      </w:r>
      <w:r>
        <w:rPr>
          <w:rFonts w:eastAsia="MS Mincho"/>
          <w:sz w:val="28"/>
          <w:szCs w:val="28"/>
          <w:highlight w:val="none"/>
        </w:rPr>
      </w:r>
      <w:r>
        <w:rPr>
          <w:rFonts w:eastAsia="MS Mincho"/>
          <w:sz w:val="28"/>
          <w:szCs w:val="28"/>
          <w:highlight w:val="none"/>
        </w:rPr>
      </w:r>
    </w:p>
    <w:p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highlight w:val="none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Информация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об условиях приватизации государственного имущества Костромской области</w:t>
      </w:r>
      <w:r>
        <w:rPr>
          <w:rFonts w:eastAsia="MS Mincho"/>
          <w:sz w:val="28"/>
          <w:szCs w:val="28"/>
        </w:rPr>
        <w:t xml:space="preserve">,</w:t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p>
      <w:pPr>
        <w:jc w:val="center"/>
        <w:rPr>
          <w:rFonts w:eastAsia="MS Mincho"/>
          <w:sz w:val="28"/>
          <w:szCs w:val="28"/>
          <w:highlight w:val="none"/>
        </w:rPr>
      </w:pPr>
      <w:r>
        <w:rPr>
          <w:rFonts w:eastAsia="MS Mincho"/>
          <w:sz w:val="28"/>
          <w:szCs w:val="28"/>
        </w:rPr>
        <w:t xml:space="preserve">предла</w:t>
      </w:r>
      <w:r>
        <w:rPr>
          <w:rFonts w:eastAsia="MS Mincho"/>
          <w:sz w:val="28"/>
          <w:szCs w:val="28"/>
        </w:rPr>
        <w:t xml:space="preserve">гаемого к продаже посредством публичного предложения</w:t>
      </w:r>
      <w:r>
        <w:rPr>
          <w:rStyle w:val="907"/>
          <w:rFonts w:eastAsia="MS Mincho"/>
          <w:sz w:val="28"/>
          <w:szCs w:val="28"/>
        </w:rPr>
        <w:footnoteReference w:id="2"/>
      </w:r>
      <w:r>
        <w:rPr>
          <w:rFonts w:eastAsia="MS Mincho"/>
          <w:sz w:val="28"/>
          <w:szCs w:val="28"/>
        </w:rPr>
        <w:t xml:space="preserve"> 30 января 2026 г</w:t>
      </w:r>
      <w:r>
        <w:rPr>
          <w:rFonts w:eastAsia="MS Mincho"/>
          <w:sz w:val="28"/>
          <w:szCs w:val="28"/>
        </w:rPr>
        <w:t xml:space="preserve">ода</w:t>
      </w:r>
      <w:r>
        <w:rPr>
          <w:rFonts w:eastAsia="MS Mincho"/>
          <w:sz w:val="28"/>
          <w:szCs w:val="28"/>
          <w:highlight w:val="none"/>
        </w:rPr>
      </w:r>
      <w:r>
        <w:rPr>
          <w:rFonts w:eastAsia="MS Mincho"/>
          <w:sz w:val="28"/>
          <w:szCs w:val="28"/>
          <w:highlight w:val="none"/>
        </w:rPr>
      </w:r>
    </w:p>
    <w:p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highlight w:val="none"/>
        </w:rPr>
      </w:r>
      <w:r>
        <w:rPr>
          <w:rFonts w:eastAsia="MS Mincho"/>
          <w:sz w:val="28"/>
          <w:szCs w:val="28"/>
        </w:rPr>
      </w:r>
      <w:r>
        <w:rPr>
          <w:rFonts w:eastAsia="MS Mincho"/>
          <w:sz w:val="28"/>
          <w:szCs w:val="28"/>
        </w:rPr>
      </w:r>
    </w:p>
    <w:tbl>
      <w:tblPr>
        <w:tblW w:w="151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084"/>
        <w:gridCol w:w="2126"/>
        <w:gridCol w:w="1134"/>
        <w:gridCol w:w="1134"/>
        <w:gridCol w:w="1134"/>
        <w:gridCol w:w="1134"/>
        <w:gridCol w:w="1418"/>
        <w:gridCol w:w="1701"/>
        <w:gridCol w:w="1417"/>
        <w:gridCol w:w="1420"/>
      </w:tblGrid>
      <w:tr>
        <w:tblPrEx/>
        <w:trPr>
          <w:trHeight w:val="20"/>
        </w:trPr>
        <w:tc>
          <w:tcPr>
            <w:tcW w:w="566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лота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08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продажи, технические характеристики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(местоположение) объекта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tcW w:w="4220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первоначального предложения устанавливается в размере начальной цены несостоявшегося аукциона,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Минимальная цена предложения, по которой может быть продано имущество («цена отсечения»),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Величина снижения цены первоначального предложения («шаг понижения»),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Величина повышения цены («шаг аукциона»),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Задаток (10% от начальной цены),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3"/>
        </w:trPr>
        <w:tc>
          <w:tcPr>
            <w:tcW w:w="56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08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316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r/>
            <w:r/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420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</w:tr>
      <w:tr>
        <w:tblPrEx/>
        <w:trPr>
          <w:trHeight w:val="977"/>
        </w:trPr>
        <w:tc>
          <w:tcPr>
            <w:tcW w:w="56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084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  <w:tc>
          <w:tcPr>
            <w:tcW w:w="2126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 </w:t>
            </w:r>
            <w:r>
              <w:rPr>
                <w:sz w:val="22"/>
                <w:szCs w:val="22"/>
              </w:rPr>
              <w:t xml:space="preserve">недвижи</w:t>
            </w: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  <w:t xml:space="preserve">мости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 НДС)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участок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</w:rPr>
              <w:t xml:space="preserve">Объекты движи-мого иму- щества</w:t>
            </w:r>
            <w:r/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417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  <w:tc>
          <w:tcPr>
            <w:tcW w:w="1420" w:type="dxa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</w:pPr>
            <w:r/>
            <w:r/>
          </w:p>
        </w:tc>
      </w:tr>
      <w:tr>
        <w:tblPrEx/>
        <w:trPr>
          <w:trHeight w:val="405"/>
        </w:trPr>
        <w:tc>
          <w:tcPr>
            <w:tcW w:w="56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Дом для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ветбаклаборатории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назначение: нежилое,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43,1 кв.м,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кадастровый номер 44:28: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030131:45,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с одноврем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енным отчужд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ением земель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ного участка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 категория зем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ель: зе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мли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населенных пунктов, вид разрешенного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ис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по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льзования: для размещения и эксплуатации ветеринарных лечебниц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площадь 801,79 кв.м, кадастро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вый ном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ер 44: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28:030131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:30,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м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стопо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ло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же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ние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«Местопо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ложение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у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с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тановлено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относительно ори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ент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ира,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рас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положенн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ого в границах участка. Почтовый адрес 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риентира: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Костромская область, Мантуровский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район,                              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г. Мантурово, ул.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 Первомайская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2-я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 д. 31»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, ограничения (обременения)</w:t>
            </w:r>
            <w:r>
              <w:rPr>
                <w:sz w:val="22"/>
                <w:szCs w:val="22"/>
              </w:rPr>
              <w:t xml:space="preserve">: зона с особыми условиями использования территорий – зона санитарной охраны источников водоснабжения и водопроводов питьевого назначения. площадью 801,79 кв.м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Костромская область, Мантуровский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район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г. Мантурово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ул. 2-я Первомайская,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  <w:t xml:space="preserve">д. 31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r>
              <w:t xml:space="preserve">73 380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r>
              <w:t xml:space="preserve">34 080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r>
              <w:t xml:space="preserve">39 300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36 690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3 669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7 338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05"/>
        </w:trPr>
        <w:tc>
          <w:tcPr>
            <w:tcW w:w="566" w:type="dxa"/>
            <w:vMerge w:val="restart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помещение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(контора), назначение: нежилое,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площадь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42,2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кв.м,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кадастровый номер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44:23:041001:262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Костромская область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Чухломский район,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с.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Гео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ргий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ул. Центральн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ая,  д. 19, пом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22 184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22 184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11 092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1 109,20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2 218,40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05"/>
        </w:trPr>
        <w:tc>
          <w:tcPr>
            <w:tcW w:w="566" w:type="dxa"/>
            <w:vMerge w:val="restart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здание (рабочее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отделение психиатрической больницы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назна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чение: нежилое,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площадь 92,6 к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в.м,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 ка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44:07:061301:20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с одновременным отчуж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дением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земельного участка,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земельного участка,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категория земель: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земли населенных пунктов,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вид разрешенного использования: социальное обслуживание, площадь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815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кв.м, кадастровый номер 44:07:061301:132,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местоположение: Костромская область, Костромской район, д. Брино, примерно в 1610 м по направлению на северо-восток от                                    ОМЗ-424,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ограничения (обременения)</w:t>
            </w:r>
            <w:r>
              <w:rPr>
                <w:sz w:val="22"/>
                <w:szCs w:val="22"/>
              </w:rPr>
              <w:t xml:space="preserve">: зоны с особыми условиями использования территорий: охранные зоны транспорта площадью 815 кв.м, </w:t>
            </w:r>
            <w:r>
              <w:rPr>
                <w:sz w:val="22"/>
                <w:szCs w:val="22"/>
              </w:rPr>
              <w:t xml:space="preserve">площадью </w:t>
            </w:r>
            <w:r>
              <w:rPr>
                <w:sz w:val="22"/>
                <w:szCs w:val="22"/>
              </w:rPr>
              <w:t xml:space="preserve">815 </w:t>
            </w:r>
            <w:r>
              <w:rPr>
                <w:sz w:val="22"/>
                <w:szCs w:val="22"/>
              </w:rPr>
              <w:t xml:space="preserve">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площадью </w:t>
            </w:r>
            <w:r>
              <w:rPr>
                <w:sz w:val="22"/>
                <w:szCs w:val="22"/>
              </w:rPr>
              <w:t xml:space="preserve">815 </w:t>
            </w:r>
            <w:r>
              <w:rPr>
                <w:sz w:val="22"/>
                <w:szCs w:val="22"/>
              </w:rPr>
              <w:t xml:space="preserve">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площадью </w:t>
            </w:r>
            <w:r>
              <w:rPr>
                <w:sz w:val="22"/>
                <w:szCs w:val="22"/>
              </w:rPr>
              <w:t xml:space="preserve">815 </w:t>
            </w:r>
            <w:r>
              <w:rPr>
                <w:sz w:val="22"/>
                <w:szCs w:val="22"/>
              </w:rPr>
              <w:t xml:space="preserve">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охранная зона инженерных коммуникаций площадью </w:t>
            </w:r>
            <w:r>
              <w:rPr>
                <w:sz w:val="22"/>
                <w:szCs w:val="22"/>
              </w:rPr>
              <w:t xml:space="preserve">815 </w:t>
            </w:r>
            <w:r>
              <w:rPr>
                <w:sz w:val="22"/>
                <w:szCs w:val="22"/>
              </w:rPr>
              <w:t xml:space="preserve">кв.м</w:t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Костромская область, Костромской район,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д. Прошево, д. б/н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500 000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380 000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120 000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05"/>
        </w:trPr>
        <w:tc>
          <w:tcPr>
            <w:tcW w:w="566" w:type="dxa"/>
            <w:vMerge w:val="restart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комплекс объектов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здание (столовая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назна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чение: нежилое,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площадь 60,8 к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в.м,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ка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44:07:061301: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здание (баня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highlight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назна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чение: нежилое,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площадь 56,4 к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в.м,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ка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44:07:061301: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с одновременным отчуж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дением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земельного участка,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категория земель: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земли населенных пунктов,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вид разрешенного использования: социальное обслуживание, площадь 1698 кв.м, кадастровый номер 44:07:061301:133,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местоположение: Костромская область, Костромской район, д. Брино, примерно в 1610 м по направлению на северо-восток от ОМЗ-424,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ограничения (обременения)</w:t>
            </w:r>
            <w:r>
              <w:rPr>
                <w:sz w:val="22"/>
                <w:szCs w:val="22"/>
              </w:rPr>
              <w:t xml:space="preserve">: зоны с особыми условиями использования территорий: охранная зона инженерных коммуникаций площадью 1698 кв.м, охранные зоны транспорта площадью 1698 кв.м, </w:t>
            </w:r>
            <w:r>
              <w:rPr>
                <w:sz w:val="22"/>
                <w:szCs w:val="22"/>
              </w:rPr>
              <w:t xml:space="preserve">площадью 1698 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площадью 1698 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площадью 1698 кв.м,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площадью 1698 кв.м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Костромская область, Костромской район,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д. Прошево, </w:t>
            </w:r>
            <w:r>
              <w:rPr>
                <w:sz w:val="22"/>
                <w:szCs w:val="22"/>
              </w:rPr>
              <w:t xml:space="preserve"> д. 5, д. 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whit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500 000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200 000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300 000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  <w:t xml:space="preserve">-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405"/>
        </w:trPr>
        <w:tc>
          <w:tcPr>
            <w:tcW w:w="566" w:type="dxa"/>
            <w:vMerge w:val="restart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84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</w:rPr>
              <w:t xml:space="preserve">нежилое здание (фельдшерско-акушерский пункт),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назначение: нежилое,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площадь 120,2 кв.м,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44:07:130201:416,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с одновременным отчуждением земельного участка,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категория земель: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земли населенных пунктов, вид разрешенного использования: для индивидуального жилищного строительства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площадь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255 кв.м,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2"/>
                <w:szCs w:val="22"/>
                <w:highlight w:val="white"/>
                <w:lang w:val="ru-RU"/>
              </w:rPr>
              <w:t xml:space="preserve">44:07:130202:556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, местоположение: 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  <w:lang w:eastAsia="ru-RU"/>
              </w:rPr>
              <w:t xml:space="preserve">Костромская область, Костромской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район,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с. Чернопенье, ул. Водников, д.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12, </w:t>
            </w:r>
            <w:r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highlight w:val="none"/>
              </w:rPr>
              <w:t xml:space="preserve">ограничения (обременения)</w:t>
            </w:r>
            <w:r>
              <w:rPr>
                <w:sz w:val="22"/>
                <w:szCs w:val="22"/>
              </w:rPr>
              <w:t xml:space="preserve">: зоны с особыми условиями использования территорий: водоохранная зона площадью 255 кв.м, зоны с особыми условиями использования территории </w:t>
            </w:r>
            <w:r>
              <w:rPr>
                <w:sz w:val="22"/>
                <w:szCs w:val="22"/>
              </w:rPr>
              <w:t xml:space="preserve">площадью 255 кв.м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площадью 255 кв.м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2"/>
                <w:szCs w:val="22"/>
                <w:lang w:eastAsia="ru-RU"/>
              </w:rPr>
              <w:t xml:space="preserve">Костромская область, Костромской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район, </w:t>
            </w:r>
            <w:r/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с. Чернопенье, </w:t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white"/>
              </w:rPr>
              <w:t xml:space="preserve">ул. Водников,             д. </w:t>
            </w: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  <w:highlight w:val="none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2 900 000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2 600 000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1 450 000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145 000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290 000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rPr>
          <w:rFonts w:eastAsia="MS Mincho"/>
          <w:sz w:val="22"/>
          <w:szCs w:val="22"/>
          <w:highlight w:val="none"/>
        </w:rPr>
      </w:pP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</w:p>
    <w:p>
      <w:pPr>
        <w:jc w:val="center"/>
        <w:rPr>
          <w:rFonts w:eastAsia="MS Mincho"/>
          <w:sz w:val="22"/>
          <w:szCs w:val="22"/>
          <w:highlight w:val="none"/>
        </w:rPr>
      </w:pPr>
      <w:r>
        <w:rPr>
          <w:rFonts w:eastAsia="MS Mincho"/>
          <w:sz w:val="22"/>
          <w:szCs w:val="22"/>
        </w:rPr>
        <w:t xml:space="preserve">_______________</w:t>
      </w:r>
      <w:r>
        <w:rPr>
          <w:rFonts w:eastAsia="MS Mincho"/>
          <w:sz w:val="22"/>
          <w:szCs w:val="22"/>
          <w:highlight w:val="none"/>
        </w:rPr>
      </w:r>
      <w:r>
        <w:rPr>
          <w:rFonts w:eastAsia="MS Mincho"/>
          <w:sz w:val="22"/>
          <w:szCs w:val="22"/>
          <w:highlight w:val="none"/>
        </w:rPr>
      </w:r>
    </w:p>
    <w:p>
      <w:pPr>
        <w:jc w:val="right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  <w:r>
        <w:rPr>
          <w:rFonts w:eastAsia="MS Mincho"/>
          <w:sz w:val="22"/>
          <w:szCs w:val="22"/>
        </w:rPr>
      </w:r>
    </w:p>
    <w:sectPr>
      <w:footnotePr/>
      <w:endnotePr/>
      <w:type w:val="nextPage"/>
      <w:pgSz w:w="16838" w:h="11906" w:orient="landscape"/>
      <w:pgMar w:top="1134" w:right="567" w:bottom="56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MS Mincho">
    <w:panose1 w:val="02020603050405090304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05"/>
        <w:rPr>
          <w:sz w:val="24"/>
          <w:szCs w:val="24"/>
        </w:rPr>
      </w:pPr>
      <w:r>
        <w:rPr>
          <w:rStyle w:val="907"/>
        </w:rPr>
        <w:footnoteRef/>
      </w:r>
      <w:r>
        <w:t xml:space="preserve"> </w:t>
      </w:r>
      <w:r>
        <w:rPr>
          <w:sz w:val="24"/>
          <w:szCs w:val="24"/>
        </w:rPr>
        <w:t xml:space="preserve">Лоты № 1, № 2, № 3, № 4, № 5 требуют проведения капитального ремонта. </w:t>
      </w:r>
      <w:r>
        <w:rPr>
          <w:sz w:val="24"/>
          <w:szCs w:val="24"/>
        </w:rPr>
      </w:r>
      <w:r>
        <w:rPr>
          <w:sz w:val="24"/>
          <w:szCs w:val="24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357" w:firstLine="3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7" w:firstLine="363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pStyle w:val="942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pStyle w:val="941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0000ff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65" w:hanging="124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325" w:hanging="124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685" w:hanging="124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045" w:hanging="124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styleLink w:val="938"/>
    <w:lvl w:ilvl="0">
      <w:start w:val="1"/>
      <w:numFmt w:val="decimal"/>
      <w:pStyle w:val="938"/>
      <w:isLgl w:val="false"/>
      <w:suff w:val="tab"/>
      <w:lvlText w:val="%1."/>
      <w:lvlJc w:val="left"/>
      <w:pPr>
        <w:ind w:left="660" w:hanging="6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984" w:hanging="660"/>
      </w:pPr>
      <w:rPr>
        <w:rFonts w:cs="Times New Roman"/>
      </w:rPr>
    </w:lvl>
    <w:lvl w:ilvl="2">
      <w:start w:val="1"/>
      <w:numFmt w:val="decimal"/>
      <w:isLgl w:val="false"/>
      <w:suff w:val="tab"/>
      <w:lvlText w:val="13.2.%3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92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00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384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08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92" w:hanging="180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upperRoman"/>
      <w:pStyle w:val="882"/>
      <w:isLgl w:val="false"/>
      <w:suff w:val="tab"/>
      <w:lvlText w:val="%1."/>
      <w:lvlJc w:val="left"/>
      <w:pPr>
        <w:ind w:left="96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60" w:hanging="180"/>
      </w:pPr>
    </w:lvl>
  </w:abstractNum>
  <w:abstractNum w:abstractNumId="1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7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698">
    <w:name w:val="endnote text"/>
    <w:basedOn w:val="855"/>
    <w:link w:val="699"/>
    <w:uiPriority w:val="99"/>
    <w:semiHidden/>
    <w:unhideWhenUsed/>
    <w:pPr>
      <w:spacing w:after="0" w:line="240" w:lineRule="auto"/>
    </w:pPr>
    <w:rPr>
      <w:sz w:val="20"/>
    </w:rPr>
  </w:style>
  <w:style w:type="character" w:styleId="699">
    <w:name w:val="Endnote Text Char"/>
    <w:link w:val="698"/>
    <w:uiPriority w:val="99"/>
    <w:rPr>
      <w:sz w:val="20"/>
    </w:rPr>
  </w:style>
  <w:style w:type="character" w:styleId="700">
    <w:name w:val="endnote reference"/>
    <w:basedOn w:val="865"/>
    <w:uiPriority w:val="99"/>
    <w:semiHidden/>
    <w:unhideWhenUsed/>
    <w:rPr>
      <w:vertAlign w:val="superscript"/>
    </w:rPr>
  </w:style>
  <w:style w:type="character" w:styleId="701">
    <w:name w:val="Heading 1 Char"/>
    <w:basedOn w:val="865"/>
    <w:link w:val="856"/>
    <w:uiPriority w:val="9"/>
    <w:rPr>
      <w:rFonts w:ascii="Arial" w:hAnsi="Arial" w:eastAsia="Arial" w:cs="Arial"/>
      <w:sz w:val="40"/>
      <w:szCs w:val="40"/>
    </w:rPr>
  </w:style>
  <w:style w:type="character" w:styleId="702">
    <w:name w:val="Heading 2 Char"/>
    <w:basedOn w:val="865"/>
    <w:link w:val="857"/>
    <w:uiPriority w:val="9"/>
    <w:rPr>
      <w:rFonts w:ascii="Arial" w:hAnsi="Arial" w:eastAsia="Arial" w:cs="Arial"/>
      <w:sz w:val="34"/>
    </w:rPr>
  </w:style>
  <w:style w:type="character" w:styleId="703">
    <w:name w:val="Heading 3 Char"/>
    <w:basedOn w:val="865"/>
    <w:link w:val="858"/>
    <w:uiPriority w:val="9"/>
    <w:rPr>
      <w:rFonts w:ascii="Arial" w:hAnsi="Arial" w:eastAsia="Arial" w:cs="Arial"/>
      <w:sz w:val="30"/>
      <w:szCs w:val="30"/>
    </w:rPr>
  </w:style>
  <w:style w:type="character" w:styleId="704">
    <w:name w:val="Heading 4 Char"/>
    <w:basedOn w:val="865"/>
    <w:link w:val="859"/>
    <w:uiPriority w:val="9"/>
    <w:rPr>
      <w:rFonts w:ascii="Arial" w:hAnsi="Arial" w:eastAsia="Arial" w:cs="Arial"/>
      <w:b/>
      <w:bCs/>
      <w:sz w:val="26"/>
      <w:szCs w:val="26"/>
    </w:rPr>
  </w:style>
  <w:style w:type="character" w:styleId="705">
    <w:name w:val="Heading 5 Char"/>
    <w:basedOn w:val="865"/>
    <w:link w:val="860"/>
    <w:uiPriority w:val="9"/>
    <w:rPr>
      <w:rFonts w:ascii="Arial" w:hAnsi="Arial" w:eastAsia="Arial" w:cs="Arial"/>
      <w:b/>
      <w:bCs/>
      <w:sz w:val="24"/>
      <w:szCs w:val="24"/>
    </w:rPr>
  </w:style>
  <w:style w:type="character" w:styleId="706">
    <w:name w:val="Heading 6 Char"/>
    <w:basedOn w:val="865"/>
    <w:link w:val="861"/>
    <w:uiPriority w:val="9"/>
    <w:rPr>
      <w:rFonts w:ascii="Arial" w:hAnsi="Arial" w:eastAsia="Arial" w:cs="Arial"/>
      <w:b/>
      <w:bCs/>
      <w:sz w:val="22"/>
      <w:szCs w:val="22"/>
    </w:rPr>
  </w:style>
  <w:style w:type="character" w:styleId="707">
    <w:name w:val="Heading 7 Char"/>
    <w:basedOn w:val="865"/>
    <w:link w:val="8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8 Char"/>
    <w:basedOn w:val="865"/>
    <w:link w:val="863"/>
    <w:uiPriority w:val="9"/>
    <w:rPr>
      <w:rFonts w:ascii="Arial" w:hAnsi="Arial" w:eastAsia="Arial" w:cs="Arial"/>
      <w:i/>
      <w:iCs/>
      <w:sz w:val="22"/>
      <w:szCs w:val="22"/>
    </w:rPr>
  </w:style>
  <w:style w:type="character" w:styleId="709">
    <w:name w:val="Heading 9 Char"/>
    <w:basedOn w:val="865"/>
    <w:link w:val="864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No Spacing"/>
    <w:uiPriority w:val="1"/>
    <w:qFormat/>
    <w:pPr>
      <w:spacing w:before="0" w:after="0" w:line="240" w:lineRule="auto"/>
    </w:pPr>
  </w:style>
  <w:style w:type="paragraph" w:styleId="711">
    <w:name w:val="Title"/>
    <w:basedOn w:val="855"/>
    <w:next w:val="855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basedOn w:val="865"/>
    <w:link w:val="711"/>
    <w:uiPriority w:val="10"/>
    <w:rPr>
      <w:sz w:val="48"/>
      <w:szCs w:val="48"/>
    </w:rPr>
  </w:style>
  <w:style w:type="paragraph" w:styleId="713">
    <w:name w:val="Subtitle"/>
    <w:basedOn w:val="855"/>
    <w:next w:val="855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basedOn w:val="865"/>
    <w:link w:val="713"/>
    <w:uiPriority w:val="11"/>
    <w:rPr>
      <w:sz w:val="24"/>
      <w:szCs w:val="24"/>
    </w:rPr>
  </w:style>
  <w:style w:type="paragraph" w:styleId="715">
    <w:name w:val="Quote"/>
    <w:basedOn w:val="855"/>
    <w:next w:val="855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55"/>
    <w:next w:val="855"/>
    <w:link w:val="718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character" w:styleId="719">
    <w:name w:val="Header Char"/>
    <w:basedOn w:val="865"/>
    <w:link w:val="883"/>
    <w:uiPriority w:val="99"/>
  </w:style>
  <w:style w:type="character" w:styleId="720">
    <w:name w:val="Footer Char"/>
    <w:basedOn w:val="865"/>
    <w:link w:val="885"/>
    <w:uiPriority w:val="99"/>
  </w:style>
  <w:style w:type="paragraph" w:styleId="721">
    <w:name w:val="Caption"/>
    <w:basedOn w:val="855"/>
    <w:next w:val="855"/>
    <w:link w:val="72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>
    <w:name w:val="Caption Char"/>
    <w:basedOn w:val="721"/>
    <w:link w:val="885"/>
    <w:uiPriority w:val="99"/>
  </w:style>
  <w:style w:type="table" w:styleId="723">
    <w:name w:val="Table Grid Light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>
    <w:name w:val="Plain Table 1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>
    <w:name w:val="Grid Table 4 - Accent 1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2">
    <w:name w:val="Grid Table 4 - Accent 2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3">
    <w:name w:val="Grid Table 4 - Accent 3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4">
    <w:name w:val="Grid Table 4 - Accent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5">
    <w:name w:val="Grid Table 4 - Accent 5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6">
    <w:name w:val="Grid Table 4 - Accent 6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7">
    <w:name w:val="Grid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8">
    <w:name w:val="Grid Table 5 Dark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64">
    <w:name w:val="Grid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5">
    <w:name w:val="Grid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6">
    <w:name w:val="Grid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7">
    <w:name w:val="Grid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8">
    <w:name w:val="Grid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9">
    <w:name w:val="Grid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1">
    <w:name w:val="Grid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6">
    <w:name w:val="List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7">
    <w:name w:val="List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8">
    <w:name w:val="List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9">
    <w:name w:val="List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0">
    <w:name w:val="List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1">
    <w:name w:val="List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4">
    <w:name w:val="List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5">
    <w:name w:val="List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List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7">
    <w:name w:val="List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List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9">
    <w:name w:val="List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0">
    <w:name w:val="List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1">
    <w:name w:val="List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2">
    <w:name w:val="List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3">
    <w:name w:val="List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4">
    <w:name w:val="List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5">
    <w:name w:val="List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6">
    <w:name w:val="List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7">
    <w:name w:val="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>
    <w:name w:val="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>
    <w:name w:val="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>
    <w:name w:val="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>
    <w:name w:val="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>
    <w:name w:val="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Bordered &amp; 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Bordered &amp; 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6">
    <w:name w:val="Bordered &amp; 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7">
    <w:name w:val="Bordered &amp; 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8">
    <w:name w:val="Bordered &amp; 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9">
    <w:name w:val="Bordered &amp; 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0">
    <w:name w:val="Bordered &amp; 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41">
    <w:name w:val="Bordered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2">
    <w:name w:val="Bordered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3">
    <w:name w:val="Bordered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4">
    <w:name w:val="Bordered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5">
    <w:name w:val="Bordered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6">
    <w:name w:val="Bordered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7">
    <w:name w:val="Bordered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8">
    <w:name w:val="Footnote Text Char"/>
    <w:link w:val="905"/>
    <w:uiPriority w:val="99"/>
    <w:rPr>
      <w:sz w:val="18"/>
    </w:rPr>
  </w:style>
  <w:style w:type="paragraph" w:styleId="849">
    <w:name w:val="toc 4"/>
    <w:basedOn w:val="855"/>
    <w:next w:val="855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5"/>
    <w:next w:val="855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5"/>
    <w:next w:val="855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5"/>
    <w:next w:val="855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5"/>
    <w:next w:val="855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5"/>
    <w:next w:val="855"/>
    <w:uiPriority w:val="39"/>
    <w:unhideWhenUsed/>
    <w:pPr>
      <w:ind w:left="2268" w:right="0" w:firstLine="0"/>
      <w:spacing w:after="57"/>
    </w:pPr>
  </w:style>
  <w:style w:type="paragraph" w:styleId="855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>
    <w:name w:val="Heading 1"/>
    <w:basedOn w:val="855"/>
    <w:next w:val="855"/>
    <w:link w:val="868"/>
    <w:qFormat/>
    <w:pPr>
      <w:keepLines/>
      <w:keepNext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57">
    <w:name w:val="Heading 2"/>
    <w:basedOn w:val="855"/>
    <w:next w:val="855"/>
    <w:link w:val="869"/>
    <w:qFormat/>
    <w:pPr>
      <w:keepLines/>
      <w:keepNext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58">
    <w:name w:val="Heading 3"/>
    <w:basedOn w:val="855"/>
    <w:next w:val="855"/>
    <w:link w:val="870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59">
    <w:name w:val="Heading 4"/>
    <w:basedOn w:val="855"/>
    <w:next w:val="855"/>
    <w:link w:val="871"/>
    <w:uiPriority w:val="9"/>
    <w:qFormat/>
    <w:pPr>
      <w:keepLines/>
      <w:keepNext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860">
    <w:name w:val="Heading 5"/>
    <w:basedOn w:val="855"/>
    <w:next w:val="855"/>
    <w:link w:val="872"/>
    <w:uiPriority w:val="9"/>
    <w:qFormat/>
    <w:pPr>
      <w:keepNext/>
      <w:outlineLvl w:val="4"/>
    </w:pPr>
    <w:rPr>
      <w:b/>
      <w:i/>
      <w:sz w:val="26"/>
      <w:szCs w:val="26"/>
    </w:rPr>
  </w:style>
  <w:style w:type="paragraph" w:styleId="861">
    <w:name w:val="Heading 6"/>
    <w:basedOn w:val="855"/>
    <w:next w:val="855"/>
    <w:link w:val="873"/>
    <w:uiPriority w:val="9"/>
    <w:qFormat/>
    <w:pPr>
      <w:ind w:firstLine="709"/>
      <w:jc w:val="right"/>
      <w:keepNext/>
      <w:outlineLvl w:val="5"/>
    </w:pPr>
    <w:rPr>
      <w:b/>
      <w:sz w:val="26"/>
      <w:szCs w:val="26"/>
    </w:rPr>
  </w:style>
  <w:style w:type="paragraph" w:styleId="862">
    <w:name w:val="Heading 7"/>
    <w:basedOn w:val="855"/>
    <w:next w:val="855"/>
    <w:link w:val="874"/>
    <w:qFormat/>
    <w:pPr>
      <w:ind w:left="3469" w:hanging="1296"/>
      <w:spacing w:before="240" w:after="60"/>
      <w:tabs>
        <w:tab w:val="num" w:pos="3469" w:leader="none"/>
      </w:tabs>
      <w:outlineLvl w:val="6"/>
    </w:pPr>
  </w:style>
  <w:style w:type="paragraph" w:styleId="863">
    <w:name w:val="Heading 8"/>
    <w:basedOn w:val="855"/>
    <w:next w:val="855"/>
    <w:link w:val="875"/>
    <w:uiPriority w:val="9"/>
    <w:qFormat/>
    <w:pPr>
      <w:keepLines/>
      <w:keepNext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864">
    <w:name w:val="Heading 9"/>
    <w:basedOn w:val="855"/>
    <w:next w:val="855"/>
    <w:link w:val="876"/>
    <w:uiPriority w:val="9"/>
    <w:qFormat/>
    <w:pPr>
      <w:jc w:val="center"/>
      <w:keepNext/>
      <w:outlineLvl w:val="8"/>
    </w:pPr>
    <w:rPr>
      <w:bCs/>
      <w:i/>
      <w:iCs/>
      <w:sz w:val="26"/>
      <w:szCs w:val="26"/>
    </w:rPr>
  </w:style>
  <w:style w:type="character" w:styleId="865" w:default="1">
    <w:name w:val="Default Paragraph Font"/>
    <w:uiPriority w:val="1"/>
    <w:semiHidden/>
    <w:unhideWhenUsed/>
  </w:style>
  <w:style w:type="table" w:styleId="8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7" w:default="1">
    <w:name w:val="No List"/>
    <w:uiPriority w:val="99"/>
    <w:semiHidden/>
    <w:unhideWhenUsed/>
  </w:style>
  <w:style w:type="character" w:styleId="868" w:customStyle="1">
    <w:name w:val="Заголовок 1 Знак"/>
    <w:basedOn w:val="865"/>
    <w:link w:val="856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869" w:customStyle="1">
    <w:name w:val="Заголовок 2 Знак"/>
    <w:basedOn w:val="865"/>
    <w:link w:val="857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870" w:customStyle="1">
    <w:name w:val="Заголовок 3 Знак"/>
    <w:basedOn w:val="865"/>
    <w:link w:val="858"/>
    <w:rPr>
      <w:rFonts w:ascii="Cambria" w:hAnsi="Cambria" w:eastAsia="Times New Roman" w:cs="Times New Roman"/>
      <w:b/>
      <w:bCs/>
      <w:color w:val="4f81bd"/>
      <w:sz w:val="24"/>
      <w:szCs w:val="24"/>
      <w:lang w:eastAsia="ru-RU"/>
    </w:rPr>
  </w:style>
  <w:style w:type="character" w:styleId="871" w:customStyle="1">
    <w:name w:val="Заголовок 4 Знак"/>
    <w:basedOn w:val="865"/>
    <w:link w:val="859"/>
    <w:uiPriority w:val="9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872" w:customStyle="1">
    <w:name w:val="Заголовок 5 Знак"/>
    <w:basedOn w:val="865"/>
    <w:link w:val="860"/>
    <w:uiPriority w:val="9"/>
    <w:rPr>
      <w:rFonts w:ascii="Times New Roman" w:hAnsi="Times New Roman" w:eastAsia="Times New Roman" w:cs="Times New Roman"/>
      <w:b/>
      <w:i/>
      <w:sz w:val="26"/>
      <w:szCs w:val="26"/>
      <w:lang w:eastAsia="ru-RU"/>
    </w:rPr>
  </w:style>
  <w:style w:type="character" w:styleId="873" w:customStyle="1">
    <w:name w:val="Заголовок 6 Знак"/>
    <w:basedOn w:val="865"/>
    <w:link w:val="861"/>
    <w:uiPriority w:val="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874" w:customStyle="1">
    <w:name w:val="Заголовок 7 Знак"/>
    <w:basedOn w:val="865"/>
    <w:link w:val="86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5" w:customStyle="1">
    <w:name w:val="Заголовок 8 Знак"/>
    <w:basedOn w:val="865"/>
    <w:link w:val="863"/>
    <w:uiPriority w:val="9"/>
    <w:rPr>
      <w:rFonts w:ascii="Cambria" w:hAnsi="Cambria" w:eastAsia="Times New Roman" w:cs="Times New Roman"/>
      <w:color w:val="404040"/>
      <w:sz w:val="20"/>
      <w:szCs w:val="20"/>
      <w:lang w:eastAsia="ru-RU"/>
    </w:rPr>
  </w:style>
  <w:style w:type="character" w:styleId="876" w:customStyle="1">
    <w:name w:val="Заголовок 9 Знак"/>
    <w:basedOn w:val="865"/>
    <w:link w:val="864"/>
    <w:uiPriority w:val="9"/>
    <w:rPr>
      <w:rFonts w:ascii="Times New Roman" w:hAnsi="Times New Roman" w:eastAsia="Times New Roman" w:cs="Times New Roman"/>
      <w:bCs/>
      <w:i/>
      <w:iCs/>
      <w:sz w:val="26"/>
      <w:szCs w:val="26"/>
      <w:lang w:eastAsia="ru-RU"/>
    </w:rPr>
  </w:style>
  <w:style w:type="paragraph" w:styleId="877" w:customStyle="1">
    <w:name w:val="заголовок 11"/>
    <w:basedOn w:val="855"/>
    <w:next w:val="855"/>
    <w:pPr>
      <w:jc w:val="center"/>
      <w:keepNext/>
    </w:pPr>
    <w:rPr>
      <w:sz w:val="20"/>
      <w:szCs w:val="20"/>
    </w:rPr>
  </w:style>
  <w:style w:type="paragraph" w:styleId="878" w:customStyle="1">
    <w:name w:val="rvps1"/>
    <w:basedOn w:val="855"/>
    <w:pPr>
      <w:jc w:val="center"/>
    </w:pPr>
  </w:style>
  <w:style w:type="character" w:styleId="879">
    <w:name w:val="Hyperlink"/>
    <w:uiPriority w:val="99"/>
    <w:unhideWhenUsed/>
    <w:rPr>
      <w:color w:val="0000ff"/>
      <w:u w:val="single"/>
    </w:rPr>
  </w:style>
  <w:style w:type="paragraph" w:styleId="880">
    <w:name w:val="List Paragraph"/>
    <w:basedOn w:val="855"/>
    <w:uiPriority w:val="34"/>
    <w:qFormat/>
    <w:pPr>
      <w:contextualSpacing/>
      <w:ind w:left="720"/>
    </w:pPr>
  </w:style>
  <w:style w:type="paragraph" w:styleId="881">
    <w:name w:val="toc 1"/>
    <w:basedOn w:val="855"/>
    <w:next w:val="855"/>
    <w:uiPriority w:val="39"/>
    <w:qFormat/>
    <w:pPr>
      <w:ind w:left="34" w:firstLine="1"/>
      <w:jc w:val="both"/>
    </w:pPr>
  </w:style>
  <w:style w:type="paragraph" w:styleId="882">
    <w:name w:val="toc 2"/>
    <w:basedOn w:val="855"/>
    <w:next w:val="855"/>
    <w:uiPriority w:val="39"/>
    <w:qFormat/>
    <w:pPr>
      <w:numPr>
        <w:ilvl w:val="0"/>
        <w:numId w:val="1"/>
      </w:numPr>
      <w:ind w:left="0"/>
      <w:tabs>
        <w:tab w:val="right" w:pos="10196" w:leader="dot"/>
      </w:tabs>
    </w:pPr>
    <w:rPr>
      <w:rFonts w:eastAsia="MS Mincho"/>
      <w:b/>
      <w:i/>
      <w:iCs/>
    </w:rPr>
  </w:style>
  <w:style w:type="paragraph" w:styleId="883">
    <w:name w:val="Header"/>
    <w:basedOn w:val="855"/>
    <w:link w:val="884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Верхний колонтитул Знак"/>
    <w:basedOn w:val="865"/>
    <w:link w:val="88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5">
    <w:name w:val="Footer"/>
    <w:basedOn w:val="855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Нижний колонтитул Знак"/>
    <w:basedOn w:val="865"/>
    <w:link w:val="8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7">
    <w:name w:val="Balloon Text"/>
    <w:basedOn w:val="855"/>
    <w:link w:val="888"/>
    <w:uiPriority w:val="99"/>
    <w:semiHidden/>
    <w:unhideWhenUsed/>
    <w:rPr>
      <w:rFonts w:ascii="Tahoma" w:hAnsi="Tahoma" w:cs="Tahoma"/>
      <w:sz w:val="16"/>
      <w:szCs w:val="16"/>
    </w:rPr>
  </w:style>
  <w:style w:type="character" w:styleId="888" w:customStyle="1">
    <w:name w:val="Текст выноски Знак"/>
    <w:basedOn w:val="865"/>
    <w:link w:val="88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889">
    <w:name w:val="Table Grid"/>
    <w:basedOn w:val="866"/>
    <w:uiPriority w:val="59"/>
    <w:pPr>
      <w:spacing w:after="0" w:line="240" w:lineRule="auto"/>
    </w:pPr>
    <w:rPr>
      <w:rFonts w:ascii="Times New Roman" w:hAnsi="Times New Roman" w:eastAsia="Calibri" w:cs="Arial"/>
      <w:color w:val="000000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>
    <w:name w:val="Normal (Web)"/>
    <w:basedOn w:val="855"/>
    <w:link w:val="930"/>
    <w:pPr>
      <w:spacing w:before="100" w:beforeAutospacing="1" w:after="100" w:afterAutospacing="1"/>
    </w:pPr>
  </w:style>
  <w:style w:type="paragraph" w:styleId="891" w:customStyle="1">
    <w:name w:val="Times 12"/>
    <w:basedOn w:val="855"/>
    <w:uiPriority w:val="99"/>
    <w:qFormat/>
    <w:pPr>
      <w:ind w:firstLine="567"/>
      <w:jc w:val="both"/>
    </w:pPr>
    <w:rPr>
      <w:bCs/>
      <w:sz w:val="22"/>
      <w:szCs w:val="22"/>
    </w:rPr>
  </w:style>
  <w:style w:type="paragraph" w:styleId="892" w:customStyle="1">
    <w:name w:val="rvps9"/>
    <w:basedOn w:val="855"/>
    <w:pPr>
      <w:jc w:val="both"/>
    </w:pPr>
  </w:style>
  <w:style w:type="paragraph" w:styleId="893" w:customStyle="1">
    <w:name w:val="Стиль3"/>
    <w:basedOn w:val="894"/>
    <w:pPr>
      <w:ind w:left="1080"/>
      <w:jc w:val="both"/>
      <w:spacing w:after="0" w:line="240" w:lineRule="auto"/>
      <w:widowControl w:val="off"/>
      <w:tabs>
        <w:tab w:val="num" w:pos="1307" w:leader="none"/>
      </w:tabs>
    </w:pPr>
    <w:rPr>
      <w:sz w:val="20"/>
      <w:szCs w:val="20"/>
    </w:rPr>
  </w:style>
  <w:style w:type="paragraph" w:styleId="894">
    <w:name w:val="Body Text Indent 2"/>
    <w:basedOn w:val="855"/>
    <w:link w:val="895"/>
    <w:uiPriority w:val="99"/>
    <w:semiHidden/>
    <w:unhideWhenUsed/>
    <w:pPr>
      <w:ind w:left="283"/>
      <w:spacing w:after="120" w:line="480" w:lineRule="auto"/>
    </w:pPr>
  </w:style>
  <w:style w:type="character" w:styleId="895" w:customStyle="1">
    <w:name w:val="Основной текст с отступом 2 Знак"/>
    <w:basedOn w:val="865"/>
    <w:link w:val="89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6">
    <w:name w:val="Plain Text"/>
    <w:basedOn w:val="855"/>
    <w:link w:val="897"/>
    <w:rPr>
      <w:rFonts w:ascii="Courier New" w:hAnsi="Courier New"/>
      <w:sz w:val="20"/>
      <w:szCs w:val="20"/>
    </w:rPr>
  </w:style>
  <w:style w:type="character" w:styleId="897" w:customStyle="1">
    <w:name w:val="Текст Знак"/>
    <w:basedOn w:val="865"/>
    <w:link w:val="896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898" w:customStyle="1">
    <w:name w:val="Таблица шапка"/>
    <w:basedOn w:val="855"/>
    <w:pPr>
      <w:ind w:left="57" w:right="57"/>
      <w:keepNext/>
      <w:spacing w:before="40" w:after="40"/>
    </w:pPr>
    <w:rPr>
      <w:sz w:val="22"/>
      <w:szCs w:val="20"/>
    </w:rPr>
  </w:style>
  <w:style w:type="paragraph" w:styleId="899" w:customStyle="1">
    <w:name w:val="Таблица текст"/>
    <w:basedOn w:val="855"/>
    <w:pPr>
      <w:ind w:left="57" w:right="57"/>
      <w:spacing w:before="40" w:after="40"/>
    </w:pPr>
    <w:rPr>
      <w:sz w:val="20"/>
      <w:szCs w:val="20"/>
    </w:rPr>
  </w:style>
  <w:style w:type="character" w:styleId="900" w:customStyle="1">
    <w:name w:val="Ариал Знак1"/>
    <w:link w:val="901"/>
    <w:rPr>
      <w:rFonts w:ascii="Arial" w:hAnsi="Arial" w:cs="Arial"/>
    </w:rPr>
  </w:style>
  <w:style w:type="paragraph" w:styleId="901" w:customStyle="1">
    <w:name w:val="Ариал"/>
    <w:basedOn w:val="855"/>
    <w:link w:val="900"/>
    <w:pPr>
      <w:ind w:firstLine="851"/>
      <w:jc w:val="both"/>
      <w:spacing w:before="120" w:after="120" w:line="360" w:lineRule="auto"/>
    </w:pPr>
    <w:rPr>
      <w:rFonts w:ascii="Arial" w:hAnsi="Arial" w:eastAsia="Calibri" w:cs="Arial"/>
      <w:sz w:val="22"/>
      <w:szCs w:val="22"/>
      <w:lang w:eastAsia="en-US"/>
    </w:rPr>
  </w:style>
  <w:style w:type="paragraph" w:styleId="902" w:customStyle="1">
    <w:name w:val="Пункт б/н"/>
    <w:basedOn w:val="855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903" w:customStyle="1">
    <w:name w:val="Ариал Таблица Знак"/>
    <w:link w:val="904"/>
    <w:rPr>
      <w:rFonts w:ascii="Arial" w:hAnsi="Arial" w:cs="Arial"/>
    </w:rPr>
  </w:style>
  <w:style w:type="paragraph" w:styleId="904" w:customStyle="1">
    <w:name w:val="Ариал Таблица"/>
    <w:basedOn w:val="901"/>
    <w:link w:val="903"/>
    <w:pPr>
      <w:ind w:firstLine="0"/>
      <w:spacing w:before="0" w:after="0" w:line="240" w:lineRule="auto"/>
      <w:widowControl w:val="off"/>
    </w:pPr>
  </w:style>
  <w:style w:type="paragraph" w:styleId="905">
    <w:name w:val="footnote text"/>
    <w:basedOn w:val="855"/>
    <w:link w:val="906"/>
    <w:unhideWhenUsed/>
    <w:rPr>
      <w:sz w:val="20"/>
      <w:szCs w:val="20"/>
    </w:rPr>
  </w:style>
  <w:style w:type="character" w:styleId="906" w:customStyle="1">
    <w:name w:val="Текст сноски Знак"/>
    <w:basedOn w:val="865"/>
    <w:link w:val="905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7">
    <w:name w:val="footnote reference"/>
    <w:unhideWhenUsed/>
    <w:rPr>
      <w:vertAlign w:val="superscript"/>
    </w:rPr>
  </w:style>
  <w:style w:type="paragraph" w:styleId="908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09">
    <w:name w:val="page number"/>
    <w:basedOn w:val="865"/>
  </w:style>
  <w:style w:type="paragraph" w:styleId="910" w:customStyle="1">
    <w:name w:val="rvps46"/>
    <w:basedOn w:val="855"/>
    <w:pPr>
      <w:spacing w:before="120" w:after="120"/>
    </w:pPr>
  </w:style>
  <w:style w:type="character" w:styleId="911">
    <w:name w:val="annotation reference"/>
    <w:uiPriority w:val="99"/>
    <w:unhideWhenUsed/>
    <w:rPr>
      <w:sz w:val="16"/>
      <w:szCs w:val="16"/>
    </w:rPr>
  </w:style>
  <w:style w:type="paragraph" w:styleId="912">
    <w:name w:val="annotation text"/>
    <w:basedOn w:val="855"/>
    <w:link w:val="913"/>
    <w:uiPriority w:val="99"/>
    <w:unhideWhenUsed/>
    <w:rPr>
      <w:sz w:val="20"/>
      <w:szCs w:val="20"/>
    </w:rPr>
  </w:style>
  <w:style w:type="character" w:styleId="913" w:customStyle="1">
    <w:name w:val="Текст примечания Знак"/>
    <w:basedOn w:val="865"/>
    <w:link w:val="91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4">
    <w:name w:val="annotation subject"/>
    <w:basedOn w:val="912"/>
    <w:next w:val="912"/>
    <w:link w:val="915"/>
    <w:uiPriority w:val="99"/>
    <w:semiHidden/>
    <w:unhideWhenUsed/>
    <w:rPr>
      <w:b/>
      <w:bCs/>
    </w:rPr>
  </w:style>
  <w:style w:type="character" w:styleId="915" w:customStyle="1">
    <w:name w:val="Тема примечания Знак"/>
    <w:basedOn w:val="913"/>
    <w:link w:val="91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6">
    <w:name w:val="Body Text Indent"/>
    <w:basedOn w:val="855"/>
    <w:link w:val="917"/>
    <w:uiPriority w:val="99"/>
    <w:unhideWhenUsed/>
    <w:pPr>
      <w:ind w:firstLine="567"/>
      <w:jc w:val="both"/>
    </w:pPr>
    <w:rPr>
      <w:b/>
      <w:sz w:val="26"/>
      <w:szCs w:val="26"/>
    </w:rPr>
  </w:style>
  <w:style w:type="character" w:styleId="917" w:customStyle="1">
    <w:name w:val="Основной текст с отступом Знак"/>
    <w:basedOn w:val="865"/>
    <w:link w:val="916"/>
    <w:uiPriority w:val="99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918">
    <w:name w:val="Body Text"/>
    <w:basedOn w:val="855"/>
    <w:link w:val="919"/>
    <w:uiPriority w:val="99"/>
    <w:unhideWhenUsed/>
    <w:rPr>
      <w:i/>
      <w:sz w:val="26"/>
      <w:szCs w:val="26"/>
    </w:rPr>
  </w:style>
  <w:style w:type="character" w:styleId="919" w:customStyle="1">
    <w:name w:val="Основной текст Знак"/>
    <w:basedOn w:val="865"/>
    <w:link w:val="918"/>
    <w:uiPriority w:val="99"/>
    <w:rPr>
      <w:rFonts w:ascii="Times New Roman" w:hAnsi="Times New Roman" w:eastAsia="Times New Roman" w:cs="Times New Roman"/>
      <w:i/>
      <w:sz w:val="26"/>
      <w:szCs w:val="26"/>
      <w:lang w:eastAsia="ru-RU"/>
    </w:rPr>
  </w:style>
  <w:style w:type="paragraph" w:styleId="920">
    <w:name w:val="Body Text 2"/>
    <w:basedOn w:val="855"/>
    <w:link w:val="921"/>
    <w:uiPriority w:val="99"/>
    <w:unhideWhenUsed/>
    <w:rPr>
      <w:i/>
      <w:color w:val="ff0000"/>
      <w:sz w:val="26"/>
      <w:szCs w:val="26"/>
    </w:rPr>
  </w:style>
  <w:style w:type="character" w:styleId="921" w:customStyle="1">
    <w:name w:val="Основной текст 2 Знак"/>
    <w:basedOn w:val="865"/>
    <w:link w:val="920"/>
    <w:uiPriority w:val="99"/>
    <w:rPr>
      <w:rFonts w:ascii="Times New Roman" w:hAnsi="Times New Roman" w:eastAsia="Times New Roman" w:cs="Times New Roman"/>
      <w:i/>
      <w:color w:val="ff0000"/>
      <w:sz w:val="26"/>
      <w:szCs w:val="26"/>
      <w:lang w:eastAsia="ru-RU"/>
    </w:rPr>
  </w:style>
  <w:style w:type="paragraph" w:styleId="922" w:customStyle="1">
    <w:name w:val="Пункт"/>
    <w:basedOn w:val="855"/>
    <w:pPr>
      <w:ind w:left="1404" w:hanging="504"/>
      <w:jc w:val="both"/>
      <w:tabs>
        <w:tab w:val="num" w:pos="1980" w:leader="none"/>
      </w:tabs>
    </w:pPr>
    <w:rPr>
      <w:sz w:val="28"/>
      <w:szCs w:val="28"/>
    </w:rPr>
  </w:style>
  <w:style w:type="paragraph" w:styleId="923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24">
    <w:name w:val="TOC Heading"/>
    <w:basedOn w:val="856"/>
    <w:next w:val="855"/>
    <w:uiPriority w:val="39"/>
    <w:qFormat/>
    <w:pPr>
      <w:spacing w:line="276" w:lineRule="auto"/>
      <w:outlineLvl w:val="9"/>
    </w:pPr>
  </w:style>
  <w:style w:type="paragraph" w:styleId="925">
    <w:name w:val="toc 3"/>
    <w:basedOn w:val="855"/>
    <w:next w:val="855"/>
    <w:uiPriority w:val="39"/>
    <w:unhideWhenUsed/>
    <w:qFormat/>
    <w:pPr>
      <w:ind w:left="440"/>
      <w:spacing w:after="100" w:line="276" w:lineRule="auto"/>
    </w:pPr>
    <w:rPr>
      <w:rFonts w:ascii="Calibri" w:hAnsi="Calibri"/>
      <w:sz w:val="22"/>
      <w:szCs w:val="22"/>
    </w:rPr>
  </w:style>
  <w:style w:type="paragraph" w:styleId="926">
    <w:name w:val="Body Text 3"/>
    <w:basedOn w:val="855"/>
    <w:link w:val="927"/>
    <w:uiPriority w:val="99"/>
    <w:unhideWhenUsed/>
    <w:rPr>
      <w:sz w:val="26"/>
      <w:szCs w:val="26"/>
    </w:rPr>
  </w:style>
  <w:style w:type="character" w:styleId="927" w:customStyle="1">
    <w:name w:val="Основной текст 3 Знак"/>
    <w:basedOn w:val="865"/>
    <w:link w:val="926"/>
    <w:uiPriority w:val="99"/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928">
    <w:name w:val="Body Text Indent 3"/>
    <w:basedOn w:val="855"/>
    <w:link w:val="929"/>
    <w:uiPriority w:val="99"/>
    <w:unhideWhenUsed/>
    <w:pPr>
      <w:ind w:left="16"/>
      <w:jc w:val="both"/>
      <w:tabs>
        <w:tab w:val="num" w:pos="1200" w:leader="none"/>
      </w:tabs>
    </w:pPr>
    <w:rPr>
      <w:i/>
      <w:color w:val="808080"/>
    </w:rPr>
  </w:style>
  <w:style w:type="character" w:styleId="929" w:customStyle="1">
    <w:name w:val="Основной текст с отступом 3 Знак"/>
    <w:basedOn w:val="865"/>
    <w:link w:val="928"/>
    <w:uiPriority w:val="99"/>
    <w:rPr>
      <w:rFonts w:ascii="Times New Roman" w:hAnsi="Times New Roman" w:eastAsia="Times New Roman" w:cs="Times New Roman"/>
      <w:i/>
      <w:color w:val="808080"/>
      <w:sz w:val="24"/>
      <w:szCs w:val="24"/>
      <w:lang w:eastAsia="ru-RU"/>
    </w:rPr>
  </w:style>
  <w:style w:type="character" w:styleId="930" w:customStyle="1">
    <w:name w:val="Обычный (Интернет) Знак"/>
    <w:link w:val="89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1">
    <w:name w:val="Block Text"/>
    <w:basedOn w:val="855"/>
    <w:uiPriority w:val="99"/>
    <w:unhideWhenUsed/>
    <w:pPr>
      <w:contextualSpacing/>
      <w:ind w:left="16" w:right="113"/>
      <w:jc w:val="both"/>
      <w:spacing w:after="200" w:line="276" w:lineRule="auto"/>
      <w:tabs>
        <w:tab w:val="left" w:pos="16" w:leader="none"/>
      </w:tabs>
    </w:pPr>
    <w:rPr>
      <w:sz w:val="26"/>
      <w:szCs w:val="26"/>
      <w:lang w:eastAsia="en-US"/>
    </w:rPr>
  </w:style>
  <w:style w:type="paragraph" w:styleId="932" w:customStyle="1">
    <w:name w:val="çàãîëîâîê 2"/>
    <w:basedOn w:val="855"/>
    <w:next w:val="855"/>
    <w:pPr>
      <w:jc w:val="both"/>
      <w:keepNext/>
    </w:pPr>
    <w:rPr>
      <w:sz w:val="20"/>
      <w:szCs w:val="20"/>
      <w:lang w:val="en-GB"/>
    </w:rPr>
  </w:style>
  <w:style w:type="paragraph" w:styleId="933" w:customStyle="1">
    <w:name w:val="Абзац списка1"/>
    <w:basedOn w:val="85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34" w:customStyle="1">
    <w:name w:val="Текст документа"/>
    <w:basedOn w:val="855"/>
    <w:link w:val="935"/>
    <w:uiPriority w:val="99"/>
    <w:pPr>
      <w:ind w:firstLine="720"/>
      <w:jc w:val="both"/>
      <w:spacing w:line="360" w:lineRule="auto"/>
    </w:pPr>
  </w:style>
  <w:style w:type="character" w:styleId="935" w:customStyle="1">
    <w:name w:val="Текст документа Знак"/>
    <w:link w:val="93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6">
    <w:name w:val="FollowedHyperlink"/>
    <w:uiPriority w:val="99"/>
    <w:semiHidden/>
    <w:unhideWhenUsed/>
    <w:rPr>
      <w:color w:val="800080"/>
      <w:u w:val="single"/>
    </w:rPr>
  </w:style>
  <w:style w:type="paragraph" w:styleId="937" w:customStyle="1">
    <w:name w:val="Default"/>
    <w:pPr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numbering" w:styleId="938" w:customStyle="1">
    <w:name w:val="Стиль4"/>
    <w:pPr>
      <w:numPr>
        <w:ilvl w:val="0"/>
        <w:numId w:val="2"/>
      </w:numPr>
    </w:pPr>
  </w:style>
  <w:style w:type="paragraph" w:styleId="939" w:customStyle="1">
    <w:name w:val="Char Char4 Знак Знак Char Char Знак Знак Char Char Знак Char Char"/>
    <w:basedOn w:val="855"/>
    <w:semiHidden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40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 w:customStyle="1">
    <w:name w:val="NVG Bullet"/>
    <w:basedOn w:val="855"/>
    <w:pPr>
      <w:numPr>
        <w:ilvl w:val="0"/>
        <w:numId w:val="3"/>
      </w:numPr>
      <w:spacing w:before="120"/>
    </w:pPr>
    <w:rPr>
      <w:rFonts w:ascii="Arial" w:hAnsi="Arial"/>
      <w:lang w:val="en-US" w:eastAsia="ar-SA"/>
    </w:rPr>
  </w:style>
  <w:style w:type="paragraph" w:styleId="942" w:customStyle="1">
    <w:name w:val="Текст_бюл"/>
    <w:basedOn w:val="896"/>
    <w:link w:val="943"/>
    <w:pPr>
      <w:numPr>
        <w:ilvl w:val="0"/>
        <w:numId w:val="4"/>
      </w:numPr>
      <w:ind w:left="851" w:hanging="284"/>
      <w:jc w:val="both"/>
      <w:tabs>
        <w:tab w:val="num" w:pos="360" w:leader="none"/>
        <w:tab w:val="left" w:pos="851" w:leader="none"/>
      </w:tabs>
    </w:pPr>
    <w:rPr>
      <w:rFonts w:ascii="Times New Roman" w:hAnsi="Times New Roman" w:eastAsia="MS Mincho"/>
      <w:bCs/>
      <w:sz w:val="26"/>
      <w:szCs w:val="24"/>
    </w:rPr>
  </w:style>
  <w:style w:type="character" w:styleId="943" w:customStyle="1">
    <w:name w:val="Текст_бюл Знак"/>
    <w:link w:val="942"/>
    <w:rPr>
      <w:rFonts w:ascii="Times New Roman" w:hAnsi="Times New Roman" w:eastAsia="MS Mincho" w:cs="Times New Roman"/>
      <w:bCs/>
      <w:sz w:val="26"/>
      <w:szCs w:val="24"/>
      <w:lang w:eastAsia="ru-RU"/>
    </w:rPr>
  </w:style>
  <w:style w:type="character" w:styleId="944" w:customStyle="1">
    <w:name w:val="Font Style29"/>
    <w:basedOn w:val="865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945" w:customStyle="1">
    <w:name w:val="Style14"/>
    <w:basedOn w:val="855"/>
    <w:uiPriority w:val="99"/>
    <w:pPr>
      <w:ind w:firstLine="581"/>
      <w:jc w:val="both"/>
      <w:spacing w:line="344" w:lineRule="exact"/>
      <w:widowControl w:val="off"/>
    </w:pPr>
    <w:rPr>
      <w:rFonts w:eastAsia="Calibri"/>
    </w:rPr>
  </w:style>
  <w:style w:type="paragraph" w:styleId="946" w:customStyle="1">
    <w:name w:val="Термин"/>
    <w:basedOn w:val="896"/>
    <w:pPr>
      <w:ind w:left="567"/>
      <w:jc w:val="both"/>
    </w:pPr>
    <w:rPr>
      <w:rFonts w:ascii="Times New Roman" w:hAnsi="Times New Roman" w:cs="Courier New"/>
      <w:sz w:val="26"/>
    </w:rPr>
  </w:style>
  <w:style w:type="paragraph" w:styleId="947">
    <w:name w:val="List Bullet 3"/>
    <w:basedOn w:val="855"/>
    <w:pPr>
      <w:jc w:val="both"/>
      <w:tabs>
        <w:tab w:val="left" w:pos="-108" w:leader="none"/>
      </w:tabs>
    </w:pPr>
    <w:rPr>
      <w:rFonts w:ascii="Arial" w:hAnsi="Arial" w:cs="Arial"/>
      <w:bCs/>
      <w:sz w:val="22"/>
      <w:szCs w:val="22"/>
    </w:rPr>
  </w:style>
  <w:style w:type="character" w:styleId="948" w:customStyle="1">
    <w:name w:val="Неразрешенное упоминание1"/>
    <w:basedOn w:val="865"/>
    <w:uiPriority w:val="99"/>
    <w:semiHidden/>
    <w:unhideWhenUsed/>
    <w:rPr>
      <w:color w:val="605e5c"/>
      <w:shd w:val="clear" w:color="e1dfdd" w:fill="e1dfdd"/>
    </w:rPr>
  </w:style>
  <w:style w:type="paragraph" w:styleId="949">
    <w:name w:val="Обычный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u w:val="none"/>
      <w:vertAlign w:val="baseline"/>
      <w:rtl w:val="0"/>
      <w:cs w:val="0"/>
      <w:lang w:val="ru-RU" w:eastAsia="ru-RU" w:bidi="ar-SA"/>
    </w:rPr>
  </w:style>
  <w:style w:type="paragraph" w:styleId="950">
    <w:name w:val="Основной текст 3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rtl w:val="0"/>
      <w:cs w:val="0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0" Type="http://schemas.openxmlformats.org/officeDocument/2006/relationships/hyperlink" Target="http://www.rts-tender.ru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12" Type="http://schemas.openxmlformats.org/officeDocument/2006/relationships/hyperlink" Target="mailto:dizo@adm4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bushmanovan</cp:lastModifiedBy>
  <cp:revision>69</cp:revision>
  <dcterms:created xsi:type="dcterms:W3CDTF">2020-09-04T11:18:00Z</dcterms:created>
  <dcterms:modified xsi:type="dcterms:W3CDTF">2025-12-22T07:54:53Z</dcterms:modified>
</cp:coreProperties>
</file>